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013E9" w14:textId="6EE01133" w:rsidR="0E205231" w:rsidRDefault="0E205231" w:rsidP="5C2FFB3D">
      <w:pPr>
        <w:spacing w:after="0"/>
      </w:pPr>
      <w:r w:rsidRPr="5C2FFB3D">
        <w:rPr>
          <w:i/>
          <w:iCs/>
          <w:color w:val="000000" w:themeColor="text1"/>
          <w:sz w:val="20"/>
          <w:szCs w:val="20"/>
        </w:rPr>
        <w:t>Załącznik nr 1 do zapytania ofertowego nr 2026-103574-275471 Szczegółowy Opis Przedmiotu Zamówienia</w:t>
      </w:r>
    </w:p>
    <w:p w14:paraId="0BC2CB3C" w14:textId="258B7D1F" w:rsidR="5C2FFB3D" w:rsidRDefault="5C2FFB3D" w:rsidP="5C2FFB3D">
      <w:pPr>
        <w:rPr>
          <w:b/>
          <w:bCs/>
        </w:rPr>
      </w:pPr>
    </w:p>
    <w:p w14:paraId="3C50007C" w14:textId="6E2404D5" w:rsidR="5C2FFB3D" w:rsidRPr="00DC2313" w:rsidRDefault="00DC2313" w:rsidP="5C2FFB3D">
      <w:pPr>
        <w:rPr>
          <w:color w:val="EE0000"/>
          <w:sz w:val="20"/>
          <w:szCs w:val="20"/>
        </w:rPr>
      </w:pPr>
      <w:r>
        <w:rPr>
          <w:color w:val="EE0000"/>
          <w:sz w:val="20"/>
          <w:szCs w:val="20"/>
        </w:rPr>
        <w:t xml:space="preserve">NALEŻY </w:t>
      </w:r>
      <w:r w:rsidR="008C6F3B" w:rsidRPr="00DC2313">
        <w:rPr>
          <w:color w:val="EE0000"/>
          <w:sz w:val="20"/>
          <w:szCs w:val="20"/>
        </w:rPr>
        <w:t>WYPEŁNIĆ KOLUMNĘ „</w:t>
      </w:r>
      <w:r w:rsidR="008C6F3B" w:rsidRPr="00DC2313">
        <w:rPr>
          <w:color w:val="EE0000"/>
          <w:sz w:val="20"/>
          <w:szCs w:val="20"/>
        </w:rPr>
        <w:t>Parametr oferowany</w:t>
      </w:r>
      <w:r w:rsidR="008C6F3B" w:rsidRPr="00DC2313">
        <w:rPr>
          <w:color w:val="EE0000"/>
          <w:sz w:val="20"/>
          <w:szCs w:val="20"/>
        </w:rPr>
        <w:t>”</w:t>
      </w:r>
      <w:r w:rsidR="008C6F3B" w:rsidRPr="00DC2313">
        <w:rPr>
          <w:color w:val="EE0000"/>
          <w:sz w:val="20"/>
          <w:szCs w:val="20"/>
        </w:rPr>
        <w:t xml:space="preserve"> </w:t>
      </w:r>
      <w:r w:rsidR="008C6F3B" w:rsidRPr="00DC2313">
        <w:rPr>
          <w:color w:val="EE0000"/>
          <w:sz w:val="20"/>
          <w:szCs w:val="20"/>
        </w:rPr>
        <w:t>DLA OFEROWANEJ CZĘŚCI</w:t>
      </w:r>
      <w:r w:rsidR="00CD4E06" w:rsidRPr="00DC2313">
        <w:rPr>
          <w:color w:val="EE0000"/>
          <w:sz w:val="20"/>
          <w:szCs w:val="20"/>
        </w:rPr>
        <w:t xml:space="preserve"> (1,2)</w:t>
      </w:r>
    </w:p>
    <w:p w14:paraId="77607422" w14:textId="76DA52D7" w:rsidR="008C6F3B" w:rsidRPr="00DC2313" w:rsidRDefault="008C6F3B" w:rsidP="5C2FFB3D">
      <w:pPr>
        <w:rPr>
          <w:color w:val="EE0000"/>
          <w:sz w:val="20"/>
          <w:szCs w:val="20"/>
        </w:rPr>
      </w:pPr>
      <w:r w:rsidRPr="00DC2313">
        <w:rPr>
          <w:color w:val="EE0000"/>
          <w:sz w:val="20"/>
          <w:szCs w:val="20"/>
        </w:rPr>
        <w:t>O ILE W DANYM WIERSZU NIE WSKAZANO INACZEJ, NALEŻY WPISAĆ „TAK” lub „NIE”</w:t>
      </w:r>
    </w:p>
    <w:p w14:paraId="5A853C8E" w14:textId="02EDBFB1" w:rsidR="008C6F3B" w:rsidRPr="00DC2313" w:rsidRDefault="007B5564" w:rsidP="5C2FFB3D">
      <w:pPr>
        <w:rPr>
          <w:color w:val="EE0000"/>
          <w:sz w:val="20"/>
          <w:szCs w:val="20"/>
        </w:rPr>
      </w:pPr>
      <w:r w:rsidRPr="00DC2313">
        <w:rPr>
          <w:color w:val="EE0000"/>
          <w:sz w:val="20"/>
          <w:szCs w:val="20"/>
        </w:rPr>
        <w:t xml:space="preserve">Wpisanie odpowiedzi „NIE” w którymkolwiek z wierszy oznaczać będzie że oferta w zakresie danej części nie spełnia wymogów </w:t>
      </w:r>
      <w:r w:rsidR="00CD4E06" w:rsidRPr="00DC2313">
        <w:rPr>
          <w:color w:val="EE0000"/>
          <w:sz w:val="20"/>
          <w:szCs w:val="20"/>
        </w:rPr>
        <w:t>i zostanie odrzucona.</w:t>
      </w:r>
    </w:p>
    <w:p w14:paraId="27B29C3F" w14:textId="77777777" w:rsidR="008C6F3B" w:rsidRDefault="008C6F3B" w:rsidP="5C2FFB3D">
      <w:pPr>
        <w:rPr>
          <w:b/>
          <w:bCs/>
        </w:rPr>
      </w:pPr>
    </w:p>
    <w:p w14:paraId="1C410A7B" w14:textId="77777777" w:rsidR="00CD4E06" w:rsidRDefault="00CD4E06" w:rsidP="5C2FFB3D">
      <w:pPr>
        <w:rPr>
          <w:b/>
          <w:bCs/>
        </w:rPr>
      </w:pPr>
    </w:p>
    <w:p w14:paraId="50EA3844" w14:textId="4826018A" w:rsidR="0E205231" w:rsidRDefault="0E205231" w:rsidP="5C2FFB3D">
      <w:pPr>
        <w:rPr>
          <w:b/>
          <w:bCs/>
        </w:rPr>
      </w:pPr>
      <w:r w:rsidRPr="7FF83A9E">
        <w:rPr>
          <w:b/>
          <w:bCs/>
        </w:rPr>
        <w:t>CZĘŚĆ 1</w:t>
      </w:r>
    </w:p>
    <w:p w14:paraId="5274CCDD" w14:textId="2E5F3A44" w:rsidR="7FF83A9E" w:rsidRDefault="7FF83A9E" w:rsidP="7FF83A9E">
      <w:pPr>
        <w:rPr>
          <w:b/>
          <w:bCs/>
        </w:rPr>
      </w:pPr>
    </w:p>
    <w:p w14:paraId="0F408067" w14:textId="655CAC44" w:rsidR="00F60D3E" w:rsidRPr="00047BEE" w:rsidRDefault="00F60D3E" w:rsidP="7FF83A9E">
      <w:pPr>
        <w:pStyle w:val="Akapitzlist"/>
        <w:numPr>
          <w:ilvl w:val="0"/>
          <w:numId w:val="5"/>
        </w:numPr>
        <w:rPr>
          <w:b/>
          <w:bCs/>
        </w:rPr>
      </w:pPr>
      <w:r w:rsidRPr="7FF83A9E">
        <w:rPr>
          <w:b/>
          <w:bCs/>
        </w:rPr>
        <w:t>Rozbudowa dwóch akceleratorów Versa HD do wersji z obsługą wysokiej jakości obrazowania (IRIS) oraz wyposażenie ich w funkcjonalności technik adaptacyjnych online (Elekta ONE planning) o funkcję radioterapii adaptacyjnej – 1 szt.</w:t>
      </w:r>
    </w:p>
    <w:p w14:paraId="388AA059" w14:textId="77777777" w:rsidR="00F60D3E" w:rsidRDefault="00F60D3E" w:rsidP="00F60D3E">
      <w:pPr>
        <w:pStyle w:val="Akapitzlist"/>
      </w:pPr>
    </w:p>
    <w:tbl>
      <w:tblPr>
        <w:tblW w:w="5061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7"/>
        <w:gridCol w:w="5503"/>
        <w:gridCol w:w="1417"/>
        <w:gridCol w:w="1549"/>
      </w:tblGrid>
      <w:tr w:rsidR="00622EBA" w:rsidRPr="0053525B" w14:paraId="4EC1AB2E" w14:textId="301CAD1D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39364143" w14:textId="77777777" w:rsidR="00F8278E" w:rsidRPr="0053525B" w:rsidRDefault="00F8278E" w:rsidP="00177FF1">
            <w:pPr>
              <w:numPr>
                <w:ilvl w:val="0"/>
                <w:numId w:val="6"/>
              </w:numPr>
              <w:tabs>
                <w:tab w:val="center" w:pos="560"/>
              </w:tabs>
              <w:spacing w:before="240" w:after="0" w:line="240" w:lineRule="auto"/>
              <w:ind w:left="499" w:right="159" w:hanging="357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1727364" w14:textId="6BD783D8" w:rsidR="00F8278E" w:rsidRPr="0053525B" w:rsidRDefault="00F8278E" w:rsidP="00177FF1">
            <w:pPr>
              <w:tabs>
                <w:tab w:val="center" w:pos="560"/>
              </w:tabs>
              <w:spacing w:after="0"/>
              <w:ind w:left="56" w:right="157" w:firstLine="142"/>
              <w:jc w:val="center"/>
              <w:rPr>
                <w:rFonts w:eastAsia="Times New Roman"/>
                <w:b/>
                <w:color w:val="000000"/>
              </w:rPr>
            </w:pPr>
            <w:r w:rsidRPr="0053525B">
              <w:rPr>
                <w:rFonts w:eastAsia="Times New Roman"/>
                <w:b/>
                <w:bCs/>
                <w:color w:val="000000"/>
              </w:rPr>
              <w:t>Parametry główne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09DBD0A0" w14:textId="4C0E39F7" w:rsidR="00F8278E" w:rsidRPr="0053525B" w:rsidRDefault="00177FF1" w:rsidP="00177FF1">
            <w:pPr>
              <w:tabs>
                <w:tab w:val="center" w:pos="560"/>
              </w:tabs>
              <w:spacing w:after="0"/>
              <w:ind w:right="157"/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A437D9">
              <w:rPr>
                <w:rFonts w:eastAsia="Noto Serif CJK SC"/>
                <w:b/>
                <w:bCs/>
                <w:kern w:val="2"/>
                <w:sz w:val="20"/>
                <w:szCs w:val="20"/>
                <w:lang w:eastAsia="zh-CN" w:bidi="hi-IN"/>
              </w:rPr>
              <w:t>Parametr wymagany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72A05FA" w14:textId="6961E693" w:rsidR="00F8278E" w:rsidRPr="00177FF1" w:rsidRDefault="00177FF1" w:rsidP="00177FF1">
            <w:pPr>
              <w:tabs>
                <w:tab w:val="center" w:pos="560"/>
              </w:tabs>
              <w:spacing w:after="0"/>
              <w:ind w:right="157"/>
              <w:jc w:val="center"/>
              <w:rPr>
                <w:rFonts w:eastAsia="Noto Serif CJK SC"/>
                <w:b/>
                <w:bCs/>
                <w:kern w:val="2"/>
                <w:sz w:val="20"/>
                <w:szCs w:val="20"/>
                <w:lang w:eastAsia="zh-CN" w:bidi="hi-IN"/>
              </w:rPr>
            </w:pPr>
            <w:r w:rsidRPr="00177FF1">
              <w:rPr>
                <w:rFonts w:eastAsia="Noto Serif CJK SC"/>
                <w:b/>
                <w:bCs/>
                <w:kern w:val="2"/>
                <w:sz w:val="20"/>
                <w:szCs w:val="20"/>
                <w:lang w:eastAsia="zh-CN" w:bidi="hi-IN"/>
              </w:rPr>
              <w:t>Parametr oferowany (uzupełnić)</w:t>
            </w:r>
          </w:p>
        </w:tc>
      </w:tr>
      <w:tr w:rsidR="00622EBA" w:rsidRPr="0053525B" w14:paraId="767B4F49" w14:textId="02343CDD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0D441" w14:textId="77777777" w:rsidR="00F8278E" w:rsidRPr="0053525B" w:rsidRDefault="00F8278E" w:rsidP="00F8278E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BCBEE" w14:textId="77777777" w:rsidR="00F8278E" w:rsidRPr="0053525B" w:rsidRDefault="00F8278E" w:rsidP="00307962">
            <w:pPr>
              <w:spacing w:after="0"/>
              <w:rPr>
                <w:color w:val="000000"/>
              </w:rPr>
            </w:pPr>
            <w:r w:rsidRPr="00091EA6">
              <w:rPr>
                <w:color w:val="000000"/>
              </w:rPr>
              <w:t>Oferowana modernizacja dwóch akceleratorów Versa HD do wdrożenia technik radioterapii adaptacyjnej typu on-line; tzw. Adaptive on-line (techniki leczenia na podstawie anatomii zdefiniowanej podczas danej frakcji leczenia)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5F6C4" w14:textId="495D5C43" w:rsidR="00F8278E" w:rsidRPr="00091EA6" w:rsidRDefault="00736344" w:rsidP="0073634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931F" w14:textId="77777777" w:rsidR="00F8278E" w:rsidRPr="00091EA6" w:rsidRDefault="00F8278E" w:rsidP="00307962">
            <w:pPr>
              <w:spacing w:after="0"/>
              <w:rPr>
                <w:color w:val="000000"/>
              </w:rPr>
            </w:pPr>
          </w:p>
        </w:tc>
      </w:tr>
      <w:tr w:rsidR="00622EBA" w:rsidRPr="0053525B" w14:paraId="1758945E" w14:textId="558BE5E1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D9DF3" w14:textId="77777777" w:rsidR="00F8278E" w:rsidRPr="0053525B" w:rsidRDefault="00F8278E" w:rsidP="00F8278E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16BFE" w14:textId="77777777" w:rsidR="00F8278E" w:rsidRPr="0053525B" w:rsidRDefault="00F8278E" w:rsidP="00307962">
            <w:pPr>
              <w:spacing w:after="0"/>
              <w:rPr>
                <w:color w:val="000000"/>
              </w:rPr>
            </w:pPr>
            <w:r w:rsidRPr="00640793">
              <w:rPr>
                <w:color w:val="000000"/>
              </w:rPr>
              <w:t>Oferowana konfiguracja zapewnia realizację procedur terapeutycznych z wykorzystaniem technik adaptacyjnych on-line w czasie trwania frakcji leczenia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002D6" w14:textId="5FA5CD08" w:rsidR="00F8278E" w:rsidRPr="00640793" w:rsidRDefault="00736344" w:rsidP="00736344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EBC81" w14:textId="77777777" w:rsidR="00F8278E" w:rsidRPr="00640793" w:rsidRDefault="00F8278E" w:rsidP="00307962">
            <w:pPr>
              <w:spacing w:after="0"/>
              <w:rPr>
                <w:color w:val="000000"/>
              </w:rPr>
            </w:pPr>
          </w:p>
        </w:tc>
      </w:tr>
      <w:tr w:rsidR="00622EBA" w:rsidRPr="0053525B" w14:paraId="36CB7E9B" w14:textId="3192A3EA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08A41" w14:textId="77777777" w:rsidR="00F8278E" w:rsidRPr="0053525B" w:rsidRDefault="00F8278E" w:rsidP="00F8278E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4B61F" w14:textId="77777777" w:rsidR="00F8278E" w:rsidRPr="005D7C66" w:rsidRDefault="00F8278E" w:rsidP="00307962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 xml:space="preserve">Oferowana konfiguracja zintegrowana z konsolą akceleratora zapewniająca możliwość przygotowania i realizację planów w technice adaptacyjnej tzw. Adaptive on-line. 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C97D57" w14:textId="76B7940E" w:rsidR="00F8278E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71602" w14:textId="77777777" w:rsidR="00F8278E" w:rsidRPr="005D7C66" w:rsidRDefault="00F8278E" w:rsidP="00307962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70FE1A94" w14:textId="620427F0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4D4C1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22BECA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Wyposażenie zawiera zintegrowany w obszarze konsoli sterowania, system planowania leczenia dla technik adaptacyjnych typu on-line; tzw. Adatptive on-line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6B4F4C" w14:textId="5CB0672D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CFA87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1DDF00EC" w14:textId="59A3ECCD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9FBE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31F27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Zintegrowany z akceleratorem system planowania leczenia dla technik adaptacyjnych on-line wyposażony w narzędzia do automatycznej fuzji deformacyjnej obrazów CBCT z obrazami referencyjnego planu leczenia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B8DA" w14:textId="76731A1D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C05390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2FFD64E1" w14:textId="6D525BAE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32AD7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F2A0F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Narzędzia systemu planowania leczenia online, zapewnia narzędzia do automatycznego konturowania na obrazach uzyskanych podczas sesji leczenia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326F3B" w14:textId="38BDB289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40E0A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1197EE01" w14:textId="49EB3CF8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3E701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CDFB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System planowania leczenia online zapewnia wykorzystanie planu referencyjnego pacjenta do przygotowania planu adaptacyjnego w trakcie sesji leczenia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CDF9FE" w14:textId="51261AF0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8EDDCB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258F263F" w14:textId="63DF9D92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24B59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614489" w14:textId="77777777" w:rsidR="00736344" w:rsidRPr="0053525B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Narzędzia systemu planowania zintegrowanego z konsolą akceleratora dla technik adaptacyjnych on-line zapewniają możliwość automatycznego konturowania struktur w zakresie zdefiniowanych przez użytkownika lokalizacjach.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DC8D14" w14:textId="3DE439A9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CC84D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569C14BC" w14:textId="438CF8C8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AF6A1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948416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Oferowana konfiguracja zapewnia możliwość przygotowania i realizacji planów w technice adaptacyjnej tzw. Adaptive off-line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D0F5E" w14:textId="7784E561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DD16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61B1D6F8" w14:textId="779E52F4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D45AD8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DF58C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Oferowana konfiguracja akceleratora zapewnia możliwość przygotowania i realizacji planów w technice adaptacyjnej tzw. Plan of the day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F591C3" w14:textId="4060A40A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1632A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6C3493B1" w14:textId="54A5F3EF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0E37F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48590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Oferowana konfiguracja zapewnia niezbędne wyposażenie programowe i sprzętowe w zakresie przygotowania referencyjnych planów leczenia wraz z narzędziami do automatycznego konturowania w oparciu o atlasy anatomiczne z wykorzystaniem metod typu AI (artificial intelligence).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D9AB5" w14:textId="5681D964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8C0212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10D07980" w14:textId="7F385C1B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2D7DA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EF850F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System planowania leczenia akceleratora wykorzystuje metody obliczeń oparte sprzętowo na kartach graficznych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FAA2E" w14:textId="4E7DAF4A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2637B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2DCAB835" w14:textId="181F4046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1F04E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C9AC8" w14:textId="3B3329C0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Wymagana pełna integracja z systemem planowania leczenia wykorzystywanym przez Zamawiającego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5CB10" w14:textId="241DDC53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F18810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1043DADF" w14:textId="29FD7DFE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9A304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FE8D3" w14:textId="03AC39AF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Zintegrowany z akceleratorem system dla technik adaptacyjnych wyposażony w niezależny system obliczeń dla planów leczenia realizowanych w trybie on-line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564CF" w14:textId="289A2AE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74B3E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75CF0FDB" w14:textId="6A6E95C9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8AD7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44DF1" w14:textId="666FDB22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>
              <w:rPr>
                <w:color w:val="000000"/>
              </w:rPr>
              <w:t xml:space="preserve">Systemy IView dwóch akceleratorów podlegających rozbudowie muszą posiadać licencję </w:t>
            </w:r>
            <w:r w:rsidRPr="006A72A7">
              <w:rPr>
                <w:color w:val="000000"/>
              </w:rPr>
              <w:t>" iViewGT Linac Specific Activation License - Sun Nuclear"</w:t>
            </w:r>
            <w:r>
              <w:rPr>
                <w:color w:val="000000"/>
              </w:rPr>
              <w:t xml:space="preserve"> pozwalających na wymianę danych z systemem dozymetrycznym (</w:t>
            </w:r>
            <w:r w:rsidRPr="00552E9C">
              <w:rPr>
                <w:color w:val="000000"/>
              </w:rPr>
              <w:t>OPROGRAMOWANIE SunCHECK</w:t>
            </w:r>
            <w:r>
              <w:rPr>
                <w:color w:val="000000"/>
              </w:rPr>
              <w:t>)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B902BA" w14:textId="3D6CB616" w:rsidR="00736344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5416C" w14:textId="77777777" w:rsidR="00736344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1CF11F54" w14:textId="405B9A4F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04600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A2F30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Wyniki obliczeń niezależnego systemu do weryfikacji planów adaptacyjnych zapewnia możliwość prezentacji wyników indeksu Gamma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A2484A" w14:textId="0E923F7D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ACE2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3D3BADD3" w14:textId="2D6407F6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B99A7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28818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Oferowany system zapewnia możliwość prezentacji wyników obliczeń w postaci histogramu dawka/objętość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91D3F3" w14:textId="1B9A5B8E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22222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71FE2F57" w14:textId="0E347448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885ED4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AC96D" w14:textId="77777777" w:rsidR="00736344" w:rsidRPr="0053525B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 xml:space="preserve">Oferowany system dla niezależnych obliczeń planów adaptacyjnych pacjenta zapewnia możliwość generowania raportu oraz przesłania do systemu weryfikacji i zarządzania wykorzystywanego przez Zamawiającego 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BE474" w14:textId="0BB71275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DA070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CC26B1" w14:paraId="412C33BE" w14:textId="5BE09797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B0727" w14:textId="77777777" w:rsidR="00736344" w:rsidRPr="00CC26B1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E4866" w14:textId="77777777" w:rsidR="00736344" w:rsidRPr="00CC26B1" w:rsidRDefault="00736344" w:rsidP="00736344">
            <w:pPr>
              <w:tabs>
                <w:tab w:val="center" w:pos="560"/>
              </w:tabs>
              <w:spacing w:after="0"/>
              <w:ind w:right="157"/>
            </w:pPr>
            <w:r w:rsidRPr="00CC26B1">
              <w:t>Upgrade posiadanego przez zamawiającego systemu weryfikacji planów leczenia DosiSoft w zakresie niezbędnym do realizacji technik terapii adaptacyjnych.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349F" w14:textId="53354D3E" w:rsidR="00736344" w:rsidRPr="00CC26B1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470D1" w14:textId="77777777" w:rsidR="00736344" w:rsidRPr="00CC26B1" w:rsidRDefault="00736344" w:rsidP="00736344">
            <w:pPr>
              <w:tabs>
                <w:tab w:val="center" w:pos="560"/>
              </w:tabs>
              <w:spacing w:after="0"/>
              <w:ind w:right="157"/>
            </w:pPr>
          </w:p>
        </w:tc>
      </w:tr>
      <w:tr w:rsidR="00622EBA" w:rsidRPr="0053525B" w14:paraId="322FCB6B" w14:textId="5B08F085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9CCD3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39B75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 xml:space="preserve">Akcelerator po modernizacji, musi być w pełni zintegrowany z posiadanym przez Zamawiającego systemem planowania leczenia tj. MONACO 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FE18B" w14:textId="3EE13125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FFFC0E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4933E2EC" w14:textId="7775617A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BA1B5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794CA" w14:textId="77777777" w:rsidR="00736344" w:rsidRPr="0053525B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Tryb terapii stacjonarnej IMRT typu Step&amp;Shoot dla każdej z wiązek fotonowych (zarówno z filtrem spłaszczającym jak i bez filtra spłaszczającego) w systemie planowania online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E0DAB4" w14:textId="60272850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296E98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347EF2E7" w14:textId="6984AA89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9553E5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06212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Tryb terapii dynamicznej IMRT (typu dMLC/SlidingWindow) dla każdej z wiązek fotonowych (zarówno z filtrem spłaszczającym jak i bez filtra spłaszczającego) w systemie planowania online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4B40B" w14:textId="5942770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8F4A93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06CC8833" w14:textId="112CA619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961C3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82127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Tryb terapii dynamicznej VMAT, dla każdej z wiązek fotonowych (zarówno z filtrem spłaszczającym jak i bez filtra spłaszczającego) w systemie planowania online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5712E9" w14:textId="65DD2BF2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CC580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0B21EDAF" w14:textId="2E61B716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1B463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22C15" w14:textId="77777777" w:rsidR="00736344" w:rsidRPr="0053525B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Akcelerator po modernizacji w zakresie technik adaptacyjnych, zapewnia ciągłą, dynamiczną i jednoczesną synchronizację mocy dawki emitowanego promieniowania fotonowego ruchu listków kolimatora wielolistkowego oraz prędkości obrotu ramienia akceleratora w czasie włączonej ekspozycji promieniowania.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940A9E" w14:textId="70EBCC09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99CEF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1F5B3FA3" w14:textId="6CC663C6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81410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67A36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Zautomatyzowany proces realizacji napromieniania planu VMAT na akceleratorze po modernizacji w zakresie technik adaptacyjnych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149C96" w14:textId="4BC29344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E92F3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2CE3FA8C" w14:textId="08883D09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517C6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DCC4F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Zapamiętywanie danych o zrealizowanym napromienianiu w technice VMAT w bazie danych systemu weryfikacji i zarządzania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6ECE0" w14:textId="02987704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A440E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1378D0B0" w14:textId="5231B95B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F8C79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CDFF7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Realizacja napromienia w technice VMAT w pełnym polu terapeutycznym (40cm x 40xm)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6B7E5" w14:textId="2E1A89BB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0C407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5C1F4377" w14:textId="2A8D36EE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AAE21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6F8AF" w14:textId="77777777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  <w:r w:rsidRPr="005D7C66">
              <w:rPr>
                <w:color w:val="000000"/>
              </w:rPr>
              <w:t>Zakres modernizacji w zakresie technik adaptacyjny zapewnia niezbędną modernizację systemu obrazowania CBCT zintegrowanego z wykorzystywanym przez Zamawiającego akceleratorem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A157C" w14:textId="4B228408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812201" w14:textId="77777777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</w:p>
        </w:tc>
      </w:tr>
      <w:tr w:rsidR="00622EBA" w:rsidRPr="0053525B" w14:paraId="5FC275C2" w14:textId="2302362A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C09AB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BAC00" w14:textId="77777777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  <w:r w:rsidRPr="005D7C66">
              <w:rPr>
                <w:color w:val="000000"/>
              </w:rPr>
              <w:t>Sprzęt i oprogramowanie systemu IGRT stanowiące integralne elementy akceleratora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E3761" w14:textId="06300120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4ACC5" w14:textId="77777777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</w:p>
        </w:tc>
      </w:tr>
      <w:tr w:rsidR="00622EBA" w:rsidRPr="0053525B" w14:paraId="593B572D" w14:textId="2DC4CE4B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2C73AF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EE31B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Konstrukcja systemu zapewnia kontrast pozwalający na obrazowanie tkanek miękkich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9585D" w14:textId="7AA7D069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AED15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28C6DC0B" w14:textId="73D636A9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C476B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CA731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 xml:space="preserve">System obrazowania po modernizacji zapewnia narzędzia do generowania obrazów o wysokiej rozdzielczości 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E3FC3" w14:textId="7F078F4B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FBF14B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6F392941" w14:textId="0B64CCDA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45248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58E85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Jakość obrazu po modernizacji systemu CBCT zapewnia możliwość przygotowania planów leczenia dla techniki adaptacyjnej online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DD8D" w14:textId="60113864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136B63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365E234E" w14:textId="450B848A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09181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AFB78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Możliwość wyznaczenia korekcji ułożenia pacjenta poprzez dopasowanie badania CT wykorzystywanego do planowania terapii i badania lokalizacyjnego CBCT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1EA2E4" w14:textId="0FAD2FD2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87839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720E8732" w14:textId="22591799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D32CA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245D9" w14:textId="77777777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  <w:r w:rsidRPr="005D7C66">
              <w:rPr>
                <w:color w:val="000000"/>
              </w:rPr>
              <w:t>System musi być wyposażony w algorytmy do rekonstrukcji obrazów CBCT, które poprzez zaawansowane modelowanie wiązki promieniowania i rozproszenia zapewniają łącznie:</w:t>
            </w:r>
            <w:r w:rsidRPr="005D7C66">
              <w:rPr>
                <w:color w:val="000000"/>
              </w:rPr>
              <w:br/>
            </w:r>
            <w:r w:rsidRPr="005D7C66">
              <w:rPr>
                <w:color w:val="000000"/>
              </w:rPr>
              <w:lastRenderedPageBreak/>
              <w:t>1. Redukcję artefaktów smugowych i artefaktów pochodzących od utwardzenia wiązki.</w:t>
            </w:r>
            <w:r w:rsidRPr="005D7C66">
              <w:rPr>
                <w:color w:val="000000"/>
              </w:rPr>
              <w:br/>
              <w:t>2. Zwiększenie dokładności i jednorodności wartości densytometrycznych (HU) w całym rekonstruowanym obszarze.</w:t>
            </w:r>
            <w:r w:rsidRPr="005D7C66">
              <w:rPr>
                <w:color w:val="000000"/>
              </w:rPr>
              <w:br/>
              <w:t>3. Poprawę stosunku kontrastu do szumu (CNR), co umożliwia lepszą wizualizację granic tkanek miękkich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F55B36" w14:textId="02103674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lastRenderedPageBreak/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B09D8" w14:textId="77777777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</w:p>
        </w:tc>
      </w:tr>
      <w:tr w:rsidR="00622EBA" w:rsidRPr="0053525B" w14:paraId="7E1229A0" w14:textId="29E58554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5828D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4E1896" w14:textId="77777777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  <w:r w:rsidRPr="005D7C66">
              <w:rPr>
                <w:color w:val="000000"/>
              </w:rPr>
              <w:t>Akcelerator po modernizacji nie ogranicza wykorzystania technik leczenia z wykorzystaniem wiązek promieniowania elektronowego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069C0" w14:textId="4305A53B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8A388" w14:textId="77777777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</w:p>
        </w:tc>
      </w:tr>
      <w:tr w:rsidR="00622EBA" w:rsidRPr="0053525B" w14:paraId="72571431" w14:textId="48E68534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3D823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777AD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  <w:r w:rsidRPr="005D7C66">
              <w:rPr>
                <w:color w:val="000000"/>
              </w:rPr>
              <w:t>Akcelerator po modernizacji zapewnia możliwość realizacji techniki adaptacyjnej online dla co najmniej dwóch energii wiązek fotonowych z filtrem spłaszczającym (FF)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06FA2" w14:textId="4AA09EE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0EBD7" w14:textId="77777777" w:rsidR="00736344" w:rsidRPr="005D7C66" w:rsidRDefault="00736344" w:rsidP="00736344">
            <w:pPr>
              <w:tabs>
                <w:tab w:val="center" w:pos="560"/>
              </w:tabs>
              <w:spacing w:after="0"/>
              <w:ind w:right="157"/>
              <w:rPr>
                <w:color w:val="000000"/>
              </w:rPr>
            </w:pPr>
          </w:p>
        </w:tc>
      </w:tr>
      <w:tr w:rsidR="00622EBA" w:rsidRPr="0053525B" w14:paraId="3A72D9C6" w14:textId="28B469AE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E8ED2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9BADE" w14:textId="77777777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  <w:r w:rsidRPr="005D7C66">
              <w:rPr>
                <w:color w:val="000000"/>
              </w:rPr>
              <w:t>Akcelerator po modernizacji zapewnia możliwość realizacji techniki adaptacyjnej online dla co najmniej dwóch energii wiązek fotonowych bez filtra spłaszczającego (FFF)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87E97" w14:textId="47421824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6F222" w14:textId="77777777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</w:p>
        </w:tc>
      </w:tr>
      <w:tr w:rsidR="00622EBA" w:rsidRPr="0053525B" w14:paraId="5D20C98C" w14:textId="38C3C57D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1955F9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41183" w14:textId="184F8B2A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  <w:r w:rsidRPr="005D7C66">
              <w:rPr>
                <w:color w:val="000000"/>
              </w:rPr>
              <w:t xml:space="preserve">Oferowana konfiguracja zapewnia niezbędną modernizację systemu Weryfikacji i </w:t>
            </w:r>
            <w:r w:rsidRPr="00CC26B1">
              <w:rPr>
                <w:color w:val="000000"/>
              </w:rPr>
              <w:t xml:space="preserve">Zarządzania Mosaiq wykorzystywanego przez Zamawiającego jeżeli taka modernizacja jest wymagana dla realizacji zadania - </w:t>
            </w:r>
            <w:r w:rsidRPr="00CC26B1">
              <w:t>Rozbudowa dwóch akceleratorów Versa HD do wersji z obsługą wysokiej jakości obrazowania (IRIS) oraz wyposażenie ich w funkcjonalności technik adaptacyjnych online.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14EF04" w14:textId="047B3034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C1CA8" w14:textId="77777777" w:rsidR="00736344" w:rsidRPr="005D7C6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textAlignment w:val="baseline"/>
              <w:rPr>
                <w:color w:val="000000"/>
              </w:rPr>
            </w:pPr>
          </w:p>
        </w:tc>
      </w:tr>
      <w:tr w:rsidR="00622EBA" w:rsidRPr="0053525B" w14:paraId="57D2EF5F" w14:textId="3964477A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4DE0DC78" w14:textId="77777777" w:rsidR="00736344" w:rsidRPr="0053525B" w:rsidRDefault="00736344" w:rsidP="00622EBA">
            <w:pPr>
              <w:numPr>
                <w:ilvl w:val="0"/>
                <w:numId w:val="6"/>
              </w:numPr>
              <w:tabs>
                <w:tab w:val="center" w:pos="560"/>
              </w:tabs>
              <w:spacing w:after="0" w:line="276" w:lineRule="auto"/>
              <w:ind w:left="58" w:right="-215" w:firstLine="0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676D4EA" w14:textId="77777777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 w:rsidRPr="0053525B">
              <w:rPr>
                <w:rFonts w:eastAsia="Times New Roman"/>
                <w:b/>
              </w:rPr>
              <w:t>Uwagi dodatkowe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7FCC24EB" w14:textId="77777777" w:rsidR="00736344" w:rsidRPr="0053525B" w:rsidRDefault="00736344" w:rsidP="00736344">
            <w:pPr>
              <w:spacing w:after="0"/>
              <w:jc w:val="center"/>
              <w:rPr>
                <w:rFonts w:eastAsia="Times New Roman"/>
                <w:b/>
              </w:rPr>
            </w:pP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716E31E" w14:textId="77777777" w:rsidR="00736344" w:rsidRPr="0053525B" w:rsidRDefault="00736344" w:rsidP="00736344">
            <w:pPr>
              <w:spacing w:after="0"/>
              <w:jc w:val="center"/>
              <w:rPr>
                <w:rFonts w:eastAsia="Times New Roman"/>
                <w:b/>
              </w:rPr>
            </w:pPr>
          </w:p>
        </w:tc>
      </w:tr>
      <w:tr w:rsidR="00622EBA" w:rsidRPr="0053525B" w14:paraId="77D69F41" w14:textId="2413E0E6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5EB99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9C2F7C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>Oświadczenie, że przedmiot oferty jest kompletny i będzie po zainstalowaniu gotowy do pracy bez żadnych dodatkowych zakupów po stronie Zamawiającego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7DB04" w14:textId="39EC9EBD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799B8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</w:tr>
      <w:tr w:rsidR="00622EBA" w:rsidRPr="0053525B" w14:paraId="7014365A" w14:textId="1DC0EA3C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88083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572430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>Wykonanie wymaganych prawem i zaleceniami producenta przedmiotu umowy testów odbiorczych i akceptacyjnych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341AB6" w14:textId="45927A5F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6B0BA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</w:tr>
      <w:tr w:rsidR="00622EBA" w:rsidRPr="0053525B" w14:paraId="40A01833" w14:textId="09169A81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610B5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6BCCE5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>Instalacja przedmiotu oferty w pomieszczeniach wskazanych przez Zamawiającego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B64101" w14:textId="1F6D73D1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31EC8D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</w:tr>
      <w:tr w:rsidR="00622EBA" w:rsidRPr="0053525B" w14:paraId="2F151007" w14:textId="6D4CC512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D4068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2CB47D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>Instalacja przedmiotu oferty zapewnia prace, które będą niezbędne do prawidłowego wykorzystania systemów w warunkach klinicznych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16955" w14:textId="4500E295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313A4D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</w:tr>
      <w:tr w:rsidR="00622EBA" w:rsidRPr="0053525B" w14:paraId="7EAF577D" w14:textId="3C967211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4B69B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AE3EE2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>Deklarację zgodności wystawioną przez wytwórcę na zgodność z wymaganiami zasadniczymi dla wyrobów, zgodnie z wymaganiami dyrektywy 98/79/EC lub przepisami wdrażającymi te wymagania do prawodawstwa krajowego, dostarczona nie później niż w momencie dostawy oferowanego akceleratora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0C35E" w14:textId="4E0136CF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2C4B3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</w:tr>
      <w:tr w:rsidR="00622EBA" w:rsidRPr="0053525B" w14:paraId="156C783C" w14:textId="6960EEA7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BC4C20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28E2" w14:textId="77777777" w:rsidR="00736344" w:rsidRPr="00F84C6B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F84C6B">
              <w:rPr>
                <w:rFonts w:asciiTheme="minorHAnsi" w:hAnsiTheme="minorHAnsi" w:cstheme="minorHAnsi"/>
                <w:bCs/>
              </w:rPr>
              <w:t xml:space="preserve">Zamawiający wdraża zasady gospodarki o obiegu zamkniętym, segregując  odpady, wykorzystując bezpieczne </w:t>
            </w:r>
            <w:r w:rsidRPr="00F84C6B">
              <w:rPr>
                <w:rFonts w:asciiTheme="minorHAnsi" w:hAnsiTheme="minorHAnsi" w:cstheme="minorHAnsi"/>
                <w:bCs/>
              </w:rPr>
              <w:lastRenderedPageBreak/>
              <w:t xml:space="preserve">metody ich przetwarzania oraz stosując surowce wtórne tam, gdzie jest to możliwe.  </w:t>
            </w:r>
          </w:p>
          <w:p w14:paraId="764A6E51" w14:textId="77777777" w:rsidR="00736344" w:rsidRPr="00F84C6B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F84C6B">
              <w:rPr>
                <w:rFonts w:asciiTheme="minorHAnsi" w:hAnsiTheme="minorHAnsi" w:cstheme="minorHAnsi"/>
                <w:bCs/>
              </w:rPr>
              <w:t xml:space="preserve">Wszystkie opakowania powinny być jednoznacznie oznaczone w zakresie możliwości ich recyklingu, a w przypadku braku takich oznaczeń Wykonawca powinien poinformować Zamawiającego o właściwej metodzie recyklingu.    </w:t>
            </w:r>
          </w:p>
          <w:p w14:paraId="54E40FA7" w14:textId="77777777" w:rsidR="00736344" w:rsidRDefault="00736344" w:rsidP="00736344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F84C6B">
              <w:rPr>
                <w:rFonts w:asciiTheme="minorHAnsi" w:hAnsiTheme="minorHAnsi" w:cstheme="minorHAnsi"/>
                <w:bCs/>
              </w:rPr>
              <w:t>Wszędzie, gdzie jest to możliwe Wykonawca powinien odebrać komponenty  i elementy, które można ponownie wykorzystać.  Wyroby medyczne objęte zamówieniem są przystosowane do recyklingu lub ponownego wykorzystania komponentów</w:t>
            </w:r>
          </w:p>
          <w:p w14:paraId="20772252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A1339F" w14:textId="1FA08462" w:rsidR="00736344" w:rsidRPr="00F84C6B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center"/>
              <w:textAlignment w:val="baseline"/>
              <w:rPr>
                <w:rFonts w:asciiTheme="minorHAnsi" w:hAnsiTheme="minorHAnsi" w:cstheme="minorHAnsi"/>
                <w:bCs/>
              </w:rPr>
            </w:pPr>
            <w:r>
              <w:rPr>
                <w:color w:val="000000"/>
              </w:rPr>
              <w:lastRenderedPageBreak/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05E99" w14:textId="77777777" w:rsidR="00736344" w:rsidRPr="00F84C6B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</w:p>
        </w:tc>
      </w:tr>
      <w:tr w:rsidR="00622EBA" w:rsidRPr="0053525B" w14:paraId="2DADE939" w14:textId="7729FCEE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D6478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32528" w14:textId="77777777" w:rsidR="00736344" w:rsidRDefault="00736344" w:rsidP="00736344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  <w:r w:rsidRPr="00EE0BFB">
              <w:rPr>
                <w:rFonts w:asciiTheme="minorHAnsi" w:hAnsiTheme="minorHAnsi" w:cstheme="minorHAnsi"/>
                <w:bCs/>
              </w:rPr>
              <w:t>Wszelki sprzęt objęty dostawą lub wykorzystywany w ramach realizacji  zamówienia tam, gdzie jest to adekwatne wymaganie, musi być zgodny z regulacjami dotyczącymi wykorzystania substancji chemicznych takich jak dyrektywy REACH i RoHS. </w:t>
            </w:r>
          </w:p>
          <w:p w14:paraId="1D144529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832D00" w14:textId="06AFF2B3" w:rsidR="00736344" w:rsidRPr="00EE0BFB" w:rsidRDefault="00736344" w:rsidP="00736344">
            <w:pPr>
              <w:spacing w:after="0"/>
              <w:jc w:val="center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91F23" w14:textId="77777777" w:rsidR="00736344" w:rsidRPr="00EE0BFB" w:rsidRDefault="00736344" w:rsidP="00736344">
            <w:pPr>
              <w:spacing w:after="0"/>
              <w:jc w:val="both"/>
              <w:rPr>
                <w:rFonts w:asciiTheme="minorHAnsi" w:hAnsiTheme="minorHAnsi" w:cstheme="minorHAnsi"/>
                <w:bCs/>
              </w:rPr>
            </w:pPr>
          </w:p>
        </w:tc>
      </w:tr>
      <w:tr w:rsidR="00622EBA" w:rsidRPr="0053525B" w14:paraId="2F337895" w14:textId="448C521D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8F372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466D9" w14:textId="77777777" w:rsidR="00736344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</w:rPr>
            </w:pPr>
          </w:p>
          <w:p w14:paraId="768AE8F2" w14:textId="1E8705C0" w:rsidR="00736344" w:rsidRPr="005D1B7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</w:rPr>
            </w:pPr>
            <w:r w:rsidRPr="005D1B76">
              <w:rPr>
                <w:rFonts w:asciiTheme="minorHAnsi" w:hAnsiTheme="minorHAnsi" w:cstheme="minorHAnsi"/>
                <w:bCs/>
              </w:rPr>
              <w:t>Efektywność energetyczna: Nowoczesne urządzenia wykorzystywane w radioterapii są  projektowane z myślą o wysokiej efektywności energetycznej, co pozwala na redukcję zużycia energii  w porównaniu do starszych technologii. Zastosowanie urządzeń o wyższej klasie energetycznej zmniejsza emisje gazów  cieplarnianych generowanych przez szpital. </w:t>
            </w:r>
          </w:p>
          <w:p w14:paraId="4A177E2E" w14:textId="77777777" w:rsidR="00736344" w:rsidRPr="005D1B7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</w:p>
          <w:p w14:paraId="025084B4" w14:textId="77777777" w:rsidR="00736344" w:rsidRPr="005D1B7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5D1B76">
              <w:rPr>
                <w:rFonts w:asciiTheme="minorHAnsi" w:hAnsiTheme="minorHAnsi" w:cstheme="minorHAnsi"/>
                <w:bCs/>
              </w:rPr>
              <w:t xml:space="preserve">Efektywność energetyczna: Zakupione urządzenia są energooszczędne, a modernizacja  </w:t>
            </w:r>
          </w:p>
          <w:p w14:paraId="65FFA6A2" w14:textId="77777777" w:rsidR="00736344" w:rsidRPr="005D1B7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5D1B76">
              <w:rPr>
                <w:rFonts w:asciiTheme="minorHAnsi" w:hAnsiTheme="minorHAnsi" w:cstheme="minorHAnsi"/>
                <w:bCs/>
              </w:rPr>
              <w:t xml:space="preserve">obejmuje wdrożenie systemów zarządzania energią, co ogranicza zużycie zasobów  </w:t>
            </w:r>
          </w:p>
          <w:p w14:paraId="1BA88C5E" w14:textId="77777777" w:rsidR="00736344" w:rsidRPr="005D1B7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5D1B76">
              <w:rPr>
                <w:rFonts w:asciiTheme="minorHAnsi" w:hAnsiTheme="minorHAnsi" w:cstheme="minorHAnsi"/>
                <w:bCs/>
              </w:rPr>
              <w:t xml:space="preserve">naturalnych i emisję gazów cieplarnianych. </w:t>
            </w:r>
          </w:p>
          <w:p w14:paraId="2C1DB1C4" w14:textId="77777777" w:rsidR="00736344" w:rsidRPr="005D1B76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</w:p>
          <w:p w14:paraId="7892B4EA" w14:textId="329DAC31" w:rsidR="00736344" w:rsidRPr="00CC26B1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bCs/>
              </w:rPr>
            </w:pPr>
            <w:r w:rsidRPr="005D1B76">
              <w:rPr>
                <w:rFonts w:asciiTheme="minorHAnsi" w:hAnsiTheme="minorHAnsi" w:cstheme="minorHAnsi"/>
                <w:bCs/>
              </w:rPr>
              <w:t>Odpady medyczne i elektroniczne: Szpital stosuje zgodne z przepisami rozwiązania w  zakresie gospodarowania odpadami. Odpady specjalistyczne (np. zużyty sprzęt medyczny)  są rejestrowane w systemie kart przekazania odpadów i utylizowane przez certyfikowane  podmioty, co minimalizuje ryzyko zanieczyszczeń.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4358F7" w14:textId="5F4A47DD" w:rsidR="00736344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6F88D" w14:textId="77777777" w:rsidR="00736344" w:rsidRDefault="00736344" w:rsidP="00736344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bCs/>
              </w:rPr>
            </w:pPr>
          </w:p>
        </w:tc>
      </w:tr>
      <w:tr w:rsidR="00622EBA" w:rsidRPr="0053525B" w14:paraId="2DACCEC8" w14:textId="15EA2725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64A5C478" w14:textId="77777777" w:rsidR="00736344" w:rsidRPr="0053525B" w:rsidRDefault="00736344" w:rsidP="00736344">
            <w:pPr>
              <w:numPr>
                <w:ilvl w:val="0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single" w:sz="6" w:space="0" w:color="auto"/>
            </w:tcBorders>
            <w:shd w:val="clear" w:color="auto" w:fill="F2F2F2" w:themeFill="background1" w:themeFillShade="F2"/>
            <w:hideMark/>
          </w:tcPr>
          <w:p w14:paraId="466F0F5A" w14:textId="77777777" w:rsidR="00736344" w:rsidRPr="0053525B" w:rsidRDefault="00736344" w:rsidP="00736344">
            <w:pPr>
              <w:spacing w:after="0"/>
              <w:ind w:left="20"/>
              <w:jc w:val="center"/>
              <w:rPr>
                <w:rFonts w:eastAsia="Times New Roman"/>
                <w:b/>
                <w:color w:val="000000"/>
              </w:rPr>
            </w:pPr>
            <w:r w:rsidRPr="0053525B">
              <w:rPr>
                <w:rFonts w:eastAsia="Times New Roman"/>
                <w:b/>
                <w:color w:val="000000"/>
              </w:rPr>
              <w:t>Warunki serwisowe</w:t>
            </w:r>
          </w:p>
        </w:tc>
        <w:tc>
          <w:tcPr>
            <w:tcW w:w="773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single" w:sz="6" w:space="0" w:color="auto"/>
            </w:tcBorders>
            <w:shd w:val="clear" w:color="auto" w:fill="F2F2F2" w:themeFill="background1" w:themeFillShade="F2"/>
          </w:tcPr>
          <w:p w14:paraId="27899552" w14:textId="77777777" w:rsidR="00736344" w:rsidRPr="0053525B" w:rsidRDefault="00736344" w:rsidP="00736344">
            <w:pPr>
              <w:spacing w:after="0"/>
              <w:ind w:left="20"/>
              <w:jc w:val="center"/>
              <w:rPr>
                <w:rFonts w:eastAsia="Times New Roman"/>
                <w:b/>
                <w:color w:val="000000"/>
              </w:rPr>
            </w:pPr>
          </w:p>
        </w:tc>
        <w:tc>
          <w:tcPr>
            <w:tcW w:w="845" w:type="pct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single" w:sz="6" w:space="0" w:color="auto"/>
            </w:tcBorders>
            <w:shd w:val="clear" w:color="auto" w:fill="F2F2F2" w:themeFill="background1" w:themeFillShade="F2"/>
          </w:tcPr>
          <w:p w14:paraId="52EC7BD3" w14:textId="77777777" w:rsidR="00736344" w:rsidRPr="0053525B" w:rsidRDefault="00736344" w:rsidP="00736344">
            <w:pPr>
              <w:spacing w:after="0"/>
              <w:ind w:left="20"/>
              <w:jc w:val="center"/>
              <w:rPr>
                <w:rFonts w:eastAsia="Times New Roman"/>
                <w:b/>
                <w:color w:val="000000"/>
              </w:rPr>
            </w:pPr>
          </w:p>
        </w:tc>
      </w:tr>
      <w:tr w:rsidR="00622EBA" w:rsidRPr="0053525B" w14:paraId="26C92179" w14:textId="55572F22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859563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C0E2C9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>Zdalny dostęp (on-line) do obsługi serwisowej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71719" w14:textId="5B3C1BDE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B81142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</w:tr>
      <w:tr w:rsidR="00622EBA" w:rsidRPr="0053525B" w14:paraId="69D86537" w14:textId="0C7AC5A8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5DA87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6D3008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>Punkty serwisowe, lokalizacja (adres, nr tel. e-mail.)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C5054" w14:textId="2C0603F8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D65BE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</w:tr>
      <w:tr w:rsidR="00622EBA" w:rsidRPr="0053525B" w14:paraId="42AF83AA" w14:textId="00350E35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FE5AB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0AA02B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>Czas reakcji/interwencji na zgłoszenie usterki do 12 godzin w dni robocze rozumiane jako dni od pn-pt z wyłączeniem dni ustawowo wolnych od pracy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2513E" w14:textId="7DD2FF48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EB51D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</w:tr>
      <w:tr w:rsidR="00622EBA" w:rsidRPr="0053525B" w14:paraId="7319B665" w14:textId="4826D34E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D5C4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C7A535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>Czas skutecznej naprawy bez użycia części zamiennych licząc od momentu zgłoszenia awarii - max 48 godzin w dni robocze rozumiane, jako dni od pn-pt z wyłączeniem dni ustawowo wolnych od pracy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868335" w14:textId="22986438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854145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</w:tr>
      <w:tr w:rsidR="00622EBA" w:rsidRPr="0053525B" w14:paraId="5DC69866" w14:textId="5725A944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774038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7842D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>Czas skutecznej naprawy z użyciem części zamiennych licząc od momentu zgłoszenia awarii - max 3 dni roboczych rozumiane, jako dni od pn-pt z wyłączeniem dni ustawowo wolnych od pracy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5FC0E" w14:textId="4B4983F2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DB6E31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</w:tr>
      <w:tr w:rsidR="00622EBA" w:rsidRPr="0053525B" w14:paraId="2DBA8997" w14:textId="2F1F3B7F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16A08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DD7ABD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 xml:space="preserve">Okres dostępności części zamiennych od daty sprzedaży przez min. </w:t>
            </w:r>
            <w:r>
              <w:rPr>
                <w:rFonts w:eastAsia="Times New Roman"/>
              </w:rPr>
              <w:t>5</w:t>
            </w:r>
            <w:r w:rsidRPr="0053525B">
              <w:rPr>
                <w:rFonts w:eastAsia="Times New Roman"/>
              </w:rPr>
              <w:t xml:space="preserve"> lat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0090F7" w14:textId="5E57BF51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color w:val="000000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A4DFA" w14:textId="77777777" w:rsidR="00736344" w:rsidRPr="0053525B" w:rsidRDefault="00736344" w:rsidP="00736344">
            <w:pPr>
              <w:spacing w:after="0"/>
              <w:jc w:val="both"/>
              <w:rPr>
                <w:rFonts w:eastAsia="Times New Roman"/>
              </w:rPr>
            </w:pPr>
          </w:p>
        </w:tc>
      </w:tr>
      <w:tr w:rsidR="00622EBA" w:rsidRPr="0053525B" w14:paraId="1944121D" w14:textId="43CE5DAA" w:rsidTr="7FF83A9E">
        <w:trPr>
          <w:trHeight w:val="584"/>
        </w:trPr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D3308" w14:textId="77777777" w:rsidR="00736344" w:rsidRPr="0053525B" w:rsidRDefault="00736344" w:rsidP="00622EBA">
            <w:pPr>
              <w:numPr>
                <w:ilvl w:val="1"/>
                <w:numId w:val="6"/>
              </w:numPr>
              <w:tabs>
                <w:tab w:val="center" w:pos="563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EDB9732" w14:textId="77777777" w:rsidR="00736344" w:rsidRPr="0053525B" w:rsidRDefault="00736344" w:rsidP="00736344">
            <w:pPr>
              <w:pStyle w:val="default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3525B">
              <w:rPr>
                <w:rFonts w:ascii="Calibri" w:hAnsi="Calibri" w:cs="Calibri"/>
                <w:sz w:val="22"/>
                <w:szCs w:val="22"/>
              </w:rPr>
              <w:t>Zgłoszenie serwisowe ujawnionych usterek i awarii systemu w dni robocze w godz. 8.00-16.00 na adres e-mail. Strony dopuszczają możliwość telefonicznego zgłoszenia usterek lub awarii, co należy niezwłocznie potwierdzić e-mailem.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8A9159" w14:textId="0B35B7F7" w:rsidR="00736344" w:rsidRPr="0053525B" w:rsidRDefault="00736344" w:rsidP="00736344">
            <w:pPr>
              <w:pStyle w:val="default"/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EC2789" w14:textId="77777777" w:rsidR="00736344" w:rsidRPr="0053525B" w:rsidRDefault="00736344" w:rsidP="00736344">
            <w:pPr>
              <w:pStyle w:val="default"/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2EBA" w:rsidRPr="0053525B" w14:paraId="0A50799C" w14:textId="24B59860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37797CF" w14:textId="77777777" w:rsidR="00736344" w:rsidRPr="0053525B" w:rsidRDefault="00736344" w:rsidP="0005430F">
            <w:pPr>
              <w:numPr>
                <w:ilvl w:val="0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bCs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7E07BFA8" w14:textId="77777777" w:rsidR="00736344" w:rsidRPr="0053525B" w:rsidRDefault="00736344" w:rsidP="00736344">
            <w:pPr>
              <w:spacing w:after="0"/>
              <w:ind w:left="20"/>
              <w:jc w:val="center"/>
              <w:rPr>
                <w:rFonts w:eastAsia="Times New Roman"/>
                <w:color w:val="000000"/>
              </w:rPr>
            </w:pPr>
            <w:r w:rsidRPr="0053525B">
              <w:rPr>
                <w:rFonts w:eastAsia="Times New Roman"/>
                <w:b/>
                <w:bCs/>
                <w:color w:val="000000"/>
              </w:rPr>
              <w:t>Okres gwarancji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63D0473" w14:textId="77777777" w:rsidR="00736344" w:rsidRPr="0053525B" w:rsidRDefault="00736344" w:rsidP="00736344">
            <w:pPr>
              <w:spacing w:after="0"/>
              <w:ind w:left="20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65A35A0A" w14:textId="77777777" w:rsidR="00736344" w:rsidRPr="0053525B" w:rsidRDefault="00736344" w:rsidP="00736344">
            <w:pPr>
              <w:spacing w:after="0"/>
              <w:ind w:left="20"/>
              <w:jc w:val="center"/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622EBA" w:rsidRPr="0053525B" w14:paraId="3622B96E" w14:textId="46C21031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6069A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480CE0" w14:textId="747A0360" w:rsidR="00736344" w:rsidRPr="0053525B" w:rsidRDefault="00736344" w:rsidP="00736344">
            <w:pPr>
              <w:spacing w:after="0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 xml:space="preserve">Okres gwarancji na oferowany system w zakresie hardware i software min. </w:t>
            </w:r>
            <w:r>
              <w:rPr>
                <w:rFonts w:eastAsia="Times New Roman"/>
              </w:rPr>
              <w:t>36 miesięcy od daty podpisania protokołu odbioru</w:t>
            </w:r>
            <w:r w:rsidRPr="0053525B">
              <w:rPr>
                <w:rFonts w:eastAsia="Times New Roman"/>
              </w:rPr>
              <w:t>.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4F64" w14:textId="23F354E0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F40A7C" w14:textId="77777777" w:rsidR="00736344" w:rsidRPr="0053525B" w:rsidRDefault="00736344" w:rsidP="00736344">
            <w:pPr>
              <w:spacing w:after="0"/>
              <w:rPr>
                <w:rFonts w:eastAsia="Times New Roman"/>
              </w:rPr>
            </w:pPr>
          </w:p>
        </w:tc>
      </w:tr>
      <w:tr w:rsidR="00622EBA" w:rsidRPr="009C483D" w14:paraId="77F97270" w14:textId="3642F2FE" w:rsidTr="7FF83A9E"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7272" w14:textId="77777777" w:rsidR="00736344" w:rsidRPr="0053525B" w:rsidRDefault="00736344" w:rsidP="00736344">
            <w:pPr>
              <w:numPr>
                <w:ilvl w:val="1"/>
                <w:numId w:val="6"/>
              </w:numPr>
              <w:tabs>
                <w:tab w:val="center" w:pos="560"/>
              </w:tabs>
              <w:spacing w:after="0" w:line="276" w:lineRule="auto"/>
              <w:ind w:left="0" w:right="159" w:firstLine="142"/>
              <w:jc w:val="center"/>
              <w:rPr>
                <w:rFonts w:eastAsia="Times New Roman"/>
                <w:color w:val="000000"/>
              </w:rPr>
            </w:pPr>
          </w:p>
        </w:tc>
        <w:tc>
          <w:tcPr>
            <w:tcW w:w="300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A3762C" w14:textId="77777777" w:rsidR="00736344" w:rsidRPr="009C483D" w:rsidRDefault="00736344" w:rsidP="00736344">
            <w:pPr>
              <w:spacing w:after="0"/>
              <w:rPr>
                <w:rFonts w:eastAsia="Times New Roman"/>
              </w:rPr>
            </w:pPr>
            <w:r w:rsidRPr="0053525B">
              <w:rPr>
                <w:rFonts w:eastAsia="Times New Roman"/>
              </w:rPr>
              <w:t>Czas dostępności klinicznej przedmiotu umowy w dni robocze (z wyłączeniem dni koniecznych do przeprowadzenia planowych przeglądów konserwacyjnych) ≥ 96% nominalnego czasu pracy zakładu liczonego w dni powszednie od 7:00 do 21:00</w:t>
            </w:r>
            <w:r w:rsidRPr="009C483D">
              <w:rPr>
                <w:rFonts w:eastAsia="Times New Roman"/>
              </w:rPr>
              <w:t xml:space="preserve"> </w:t>
            </w:r>
          </w:p>
        </w:tc>
        <w:tc>
          <w:tcPr>
            <w:tcW w:w="77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067EA" w14:textId="066C50F8" w:rsidR="00736344" w:rsidRPr="0053525B" w:rsidRDefault="00736344" w:rsidP="00736344">
            <w:pPr>
              <w:spacing w:after="0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TAK</w:t>
            </w:r>
          </w:p>
        </w:tc>
        <w:tc>
          <w:tcPr>
            <w:tcW w:w="8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0B9BD" w14:textId="77777777" w:rsidR="00736344" w:rsidRPr="0053525B" w:rsidRDefault="00736344" w:rsidP="00736344">
            <w:pPr>
              <w:spacing w:after="0"/>
              <w:rPr>
                <w:rFonts w:eastAsia="Times New Roman"/>
              </w:rPr>
            </w:pPr>
          </w:p>
        </w:tc>
      </w:tr>
    </w:tbl>
    <w:p w14:paraId="37A827A7" w14:textId="77777777" w:rsidR="00F60D3E" w:rsidRDefault="00F60D3E" w:rsidP="00F60D3E">
      <w:pPr>
        <w:rPr>
          <w:b/>
          <w:bCs/>
        </w:rPr>
      </w:pPr>
    </w:p>
    <w:p w14:paraId="4905F9F9" w14:textId="77777777" w:rsidR="00F60D3E" w:rsidRPr="002913F4" w:rsidRDefault="00F60D3E" w:rsidP="00F60D3E">
      <w:pPr>
        <w:rPr>
          <w:b/>
          <w:bCs/>
        </w:rPr>
      </w:pPr>
    </w:p>
    <w:p w14:paraId="0553AA2A" w14:textId="77777777" w:rsidR="00F60D3E" w:rsidRPr="00EF138A" w:rsidRDefault="00F60D3E" w:rsidP="7FF83A9E">
      <w:pPr>
        <w:pStyle w:val="Akapitzlist"/>
        <w:numPr>
          <w:ilvl w:val="0"/>
          <w:numId w:val="4"/>
        </w:numPr>
        <w:rPr>
          <w:b/>
          <w:bCs/>
        </w:rPr>
      </w:pPr>
      <w:r w:rsidRPr="7FF83A9E">
        <w:rPr>
          <w:b/>
          <w:bCs/>
        </w:rPr>
        <w:t>szkolenie w zakresie akceleratorów (pod kątem nowej funkcjonalności -</w:t>
      </w:r>
    </w:p>
    <w:p w14:paraId="75B3C587" w14:textId="77777777" w:rsidR="00F60D3E" w:rsidRPr="00434E3D" w:rsidRDefault="00F60D3E" w:rsidP="00F60D3E">
      <w:pPr>
        <w:pStyle w:val="Akapitzlist"/>
        <w:ind w:left="1080"/>
        <w:rPr>
          <w:b/>
          <w:bCs/>
        </w:rPr>
      </w:pPr>
      <w:r w:rsidRPr="00EF138A">
        <w:rPr>
          <w:b/>
          <w:bCs/>
        </w:rPr>
        <w:t>terapii adaptacyjnej)</w:t>
      </w:r>
    </w:p>
    <w:p w14:paraId="0CADB5B2" w14:textId="77777777" w:rsidR="00F60D3E" w:rsidRDefault="00F60D3E" w:rsidP="00F60D3E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0"/>
          <w:szCs w:val="20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567"/>
        <w:gridCol w:w="5529"/>
        <w:gridCol w:w="1417"/>
        <w:gridCol w:w="1559"/>
      </w:tblGrid>
      <w:tr w:rsidR="00736344" w14:paraId="4F796220" w14:textId="06D4DFBD" w:rsidTr="005301D5">
        <w:tc>
          <w:tcPr>
            <w:tcW w:w="567" w:type="dxa"/>
          </w:tcPr>
          <w:p w14:paraId="7F2025A2" w14:textId="77777777" w:rsidR="00736344" w:rsidRPr="00523A92" w:rsidRDefault="00736344" w:rsidP="00F60D3E">
            <w:pPr>
              <w:pStyle w:val="paragraph"/>
              <w:numPr>
                <w:ilvl w:val="1"/>
                <w:numId w:val="8"/>
              </w:numPr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529" w:type="dxa"/>
          </w:tcPr>
          <w:p w14:paraId="0F50ABFE" w14:textId="77777777" w:rsidR="00736344" w:rsidRPr="00523A92" w:rsidRDefault="00736344" w:rsidP="0030796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523A92">
              <w:rPr>
                <w:rStyle w:val="normaltextrun"/>
                <w:rFonts w:ascii="Calibri" w:hAnsi="Calibri" w:cs="Calibri"/>
                <w:sz w:val="22"/>
                <w:szCs w:val="22"/>
              </w:rPr>
              <w:t>Wykonawca zobowiązuje się przy realizacji szkolenia uwzględniać  środki służące zapewnianiu dostępności osobom ze szczególnymi potrzebami. W zapewnieniu ww. środków  Wykonawca zobowiązuje się zapoznać i stosować dokument </w:t>
            </w:r>
            <w:r w:rsidRPr="00523A92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  <w:r w:rsidRPr="00523A92">
              <w:rPr>
                <w:rStyle w:val="normaltextrun"/>
                <w:rFonts w:ascii="Calibri" w:hAnsi="Calibri" w:cs="Calibri"/>
                <w:sz w:val="22"/>
                <w:szCs w:val="22"/>
              </w:rPr>
              <w:t>pn. „Standardy dostępności dla polityki spójności 2021-2027”</w:t>
            </w:r>
            <w:r w:rsidRPr="00523A92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24E2F7BB" w14:textId="77777777" w:rsidR="00736344" w:rsidRPr="00523A92" w:rsidRDefault="00736344" w:rsidP="0030796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523A92">
              <w:rPr>
                <w:rStyle w:val="normaltextrun"/>
                <w:rFonts w:ascii="Calibri" w:hAnsi="Calibri" w:cs="Calibri"/>
                <w:sz w:val="22"/>
                <w:szCs w:val="22"/>
              </w:rPr>
              <w:t>- Rozdział 3. Realizacja szkolenia/kursu/warsztatu/doradztwa, stanowiącym załącznik do Wytycznych dotyczących realizacji zasad równościowych w ramach funduszy unijnych na lata 2021-2027.</w:t>
            </w:r>
            <w:r w:rsidRPr="00523A92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32468D36" w14:textId="77777777" w:rsidR="00736344" w:rsidRPr="00523A92" w:rsidRDefault="00736344" w:rsidP="00307962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22"/>
                <w:szCs w:val="22"/>
              </w:rPr>
            </w:pPr>
            <w:r w:rsidRPr="00523A92">
              <w:rPr>
                <w:rStyle w:val="normaltextrun"/>
                <w:rFonts w:ascii="Calibri" w:hAnsi="Calibri" w:cs="Calibri"/>
                <w:sz w:val="22"/>
                <w:szCs w:val="22"/>
              </w:rPr>
              <w:t>W ramach szkolenia zapewnione zostaną elastyczne formy wsparcia, jak wydłużony czas trwania szkoleń, wolniejsze mówienie, częstsze przerwy.</w:t>
            </w:r>
            <w:r w:rsidRPr="00523A92">
              <w:rPr>
                <w:rStyle w:val="eop"/>
                <w:rFonts w:ascii="Calibri" w:hAnsi="Calibri" w:cs="Calibri"/>
                <w:sz w:val="22"/>
                <w:szCs w:val="22"/>
              </w:rPr>
              <w:t> </w:t>
            </w:r>
          </w:p>
          <w:p w14:paraId="57A42702" w14:textId="77777777" w:rsidR="00736344" w:rsidRPr="00523A92" w:rsidRDefault="00736344" w:rsidP="0030796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17" w:type="dxa"/>
          </w:tcPr>
          <w:p w14:paraId="7624539C" w14:textId="2EAFAE46" w:rsidR="00736344" w:rsidRPr="00523A92" w:rsidRDefault="00736344" w:rsidP="00736344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T</w:t>
            </w:r>
            <w:r>
              <w:rPr>
                <w:rStyle w:val="normaltextrun"/>
                <w:rFonts w:ascii="Calibri" w:hAnsi="Calibri" w:cs="Calibri"/>
              </w:rPr>
              <w:t>AK</w:t>
            </w:r>
          </w:p>
        </w:tc>
        <w:tc>
          <w:tcPr>
            <w:tcW w:w="1559" w:type="dxa"/>
          </w:tcPr>
          <w:p w14:paraId="2F97FEF2" w14:textId="77777777" w:rsidR="00736344" w:rsidRPr="00523A92" w:rsidRDefault="00736344" w:rsidP="0030796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hAnsi="Calibri" w:cs="Calibri"/>
                <w:sz w:val="22"/>
                <w:szCs w:val="22"/>
              </w:rPr>
            </w:pPr>
          </w:p>
        </w:tc>
      </w:tr>
    </w:tbl>
    <w:p w14:paraId="60CA2FB5" w14:textId="77777777" w:rsidR="00D30123" w:rsidRDefault="00D30123"/>
    <w:p w14:paraId="40EFDBB0" w14:textId="42C67FB2" w:rsidR="7FF83A9E" w:rsidRDefault="7FF83A9E"/>
    <w:p w14:paraId="545B1B0E" w14:textId="77777777" w:rsidR="008C6F3B" w:rsidRDefault="008C6F3B"/>
    <w:p w14:paraId="4E65972D" w14:textId="77777777" w:rsidR="008C6F3B" w:rsidRDefault="008C6F3B"/>
    <w:p w14:paraId="12F213BD" w14:textId="77777777" w:rsidR="008C6F3B" w:rsidRDefault="008C6F3B"/>
    <w:p w14:paraId="57482E9D" w14:textId="77777777" w:rsidR="008C6F3B" w:rsidRDefault="008C6F3B"/>
    <w:p w14:paraId="059CEF22" w14:textId="77777777" w:rsidR="008C6F3B" w:rsidRDefault="008C6F3B"/>
    <w:p w14:paraId="7CD6A321" w14:textId="44F10F46" w:rsidR="18932FB6" w:rsidRDefault="18932FB6" w:rsidP="7FF83A9E">
      <w:pPr>
        <w:rPr>
          <w:b/>
          <w:bCs/>
        </w:rPr>
      </w:pPr>
      <w:r w:rsidRPr="7FF83A9E">
        <w:rPr>
          <w:b/>
          <w:bCs/>
        </w:rPr>
        <w:t>CZĘŚĆ 2:</w:t>
      </w:r>
    </w:p>
    <w:p w14:paraId="0809EBBB" w14:textId="091F346F" w:rsidR="7FF83A9E" w:rsidRDefault="7FF83A9E"/>
    <w:p w14:paraId="05D35DBC" w14:textId="190AE199" w:rsidR="7FF83A9E" w:rsidRDefault="7FF83A9E" w:rsidP="7FF83A9E">
      <w:pPr>
        <w:pStyle w:val="Akapitzlist"/>
        <w:numPr>
          <w:ilvl w:val="0"/>
          <w:numId w:val="3"/>
        </w:numPr>
      </w:pPr>
    </w:p>
    <w:p w14:paraId="25D69DD3" w14:textId="75506FC7" w:rsidR="18932FB6" w:rsidRDefault="18932FB6" w:rsidP="7FF83A9E">
      <w:pPr>
        <w:spacing w:after="0" w:line="240" w:lineRule="auto"/>
      </w:pPr>
      <w:r w:rsidRPr="7FF83A9E">
        <w:rPr>
          <w:b/>
          <w:bCs/>
          <w:color w:val="000000" w:themeColor="text1"/>
        </w:rPr>
        <w:t>Modernizacja systemu planowania leczenia Monaco do systemu Elekta ONE Planing w wersji PRO dla całego Zakładu Radioterapii – 1 SZT.</w:t>
      </w:r>
    </w:p>
    <w:p w14:paraId="61DCF8EB" w14:textId="22142C8C" w:rsidR="7FF83A9E" w:rsidRDefault="7FF83A9E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585"/>
        <w:gridCol w:w="4230"/>
        <w:gridCol w:w="1680"/>
        <w:gridCol w:w="1680"/>
      </w:tblGrid>
      <w:tr w:rsidR="7FF83A9E" w14:paraId="70B3C7FB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2FEAE524" w14:textId="5CD2AF0A" w:rsidR="7FF83A9E" w:rsidRDefault="7FF83A9E" w:rsidP="7FF83A9E">
            <w:pPr>
              <w:pStyle w:val="Akapitzlist"/>
              <w:numPr>
                <w:ilvl w:val="0"/>
                <w:numId w:val="2"/>
              </w:numPr>
              <w:tabs>
                <w:tab w:val="center" w:pos="560"/>
              </w:tabs>
              <w:spacing w:line="276" w:lineRule="auto"/>
              <w:ind w:right="157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14:paraId="5BEAE3CC" w14:textId="54AF4CAC" w:rsidR="7FF83A9E" w:rsidRDefault="7FF83A9E" w:rsidP="7FF83A9E">
            <w:pPr>
              <w:tabs>
                <w:tab w:val="center" w:pos="560"/>
              </w:tabs>
              <w:spacing w:after="0"/>
              <w:ind w:left="56" w:right="157" w:firstLine="142"/>
              <w:jc w:val="center"/>
              <w:rPr>
                <w:color w:val="000000" w:themeColor="text1"/>
              </w:rPr>
            </w:pPr>
            <w:r w:rsidRPr="7FF83A9E">
              <w:rPr>
                <w:b/>
                <w:bCs/>
                <w:color w:val="000000" w:themeColor="text1"/>
              </w:rPr>
              <w:t xml:space="preserve">Parametry główne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6129F7F3" w14:textId="2025F9EB" w:rsidR="7FF83A9E" w:rsidRDefault="7FF83A9E" w:rsidP="7FF83A9E">
            <w:pPr>
              <w:tabs>
                <w:tab w:val="center" w:pos="560"/>
              </w:tabs>
              <w:spacing w:after="0"/>
              <w:ind w:left="56" w:right="157" w:firstLine="142"/>
              <w:jc w:val="center"/>
              <w:rPr>
                <w:color w:val="000000" w:themeColor="text1"/>
                <w:sz w:val="20"/>
                <w:szCs w:val="20"/>
              </w:rPr>
            </w:pPr>
            <w:r w:rsidRPr="7FF83A9E">
              <w:rPr>
                <w:b/>
                <w:bCs/>
                <w:color w:val="000000" w:themeColor="text1"/>
                <w:sz w:val="20"/>
                <w:szCs w:val="20"/>
              </w:rPr>
              <w:t>Parametr wymagany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13E8D45C" w14:textId="4159475C" w:rsidR="7FF83A9E" w:rsidRDefault="7FF83A9E" w:rsidP="7FF83A9E">
            <w:pPr>
              <w:tabs>
                <w:tab w:val="center" w:pos="560"/>
              </w:tabs>
              <w:spacing w:after="0"/>
              <w:ind w:left="56" w:right="157" w:firstLine="142"/>
              <w:jc w:val="center"/>
              <w:rPr>
                <w:color w:val="000000" w:themeColor="text1"/>
                <w:sz w:val="20"/>
                <w:szCs w:val="20"/>
              </w:rPr>
            </w:pPr>
            <w:r w:rsidRPr="7FF83A9E">
              <w:rPr>
                <w:b/>
                <w:bCs/>
                <w:color w:val="000000" w:themeColor="text1"/>
                <w:sz w:val="20"/>
                <w:szCs w:val="20"/>
              </w:rPr>
              <w:t>Parametr oferowany (uzupełnić)</w:t>
            </w:r>
          </w:p>
        </w:tc>
      </w:tr>
      <w:tr w:rsidR="7FF83A9E" w14:paraId="057F6D20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9615D81" w14:textId="1C1F18D6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B994BE3" w14:textId="3D8440EB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fabrycznie nowy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AC68843" w14:textId="270F34BF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1E8029C" w14:textId="2CAEE389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1F894411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E16D253" w14:textId="54657E5C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D77D374" w14:textId="667E20CE" w:rsidR="7FF83A9E" w:rsidRDefault="7FF83A9E" w:rsidP="7FF83A9E">
            <w:pPr>
              <w:spacing w:after="0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wykorzystujący narzędzia sztucznej inteligencji do automatycznego konturowania, dający możliwość obrysowania ponad 100 struktur na obrazach TK. Zawiera narzędzia automatyzacji (protokoły, skrypty), ułatwia terapię adaptacyjną w praktyce klinicznej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22D0F60" w14:textId="36696AD7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7C6C86B" w14:textId="4AFD75E1" w:rsidR="7FF83A9E" w:rsidRDefault="7FF83A9E" w:rsidP="7FF83A9E">
            <w:pPr>
              <w:spacing w:after="0"/>
              <w:rPr>
                <w:color w:val="000000" w:themeColor="text1"/>
              </w:rPr>
            </w:pPr>
          </w:p>
        </w:tc>
      </w:tr>
      <w:tr w:rsidR="7FF83A9E" w14:paraId="26B63C65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81B38C2" w14:textId="391B9194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D3148E1" w14:textId="0EF0C088" w:rsidR="7FF83A9E" w:rsidRDefault="7FF83A9E" w:rsidP="7FF83A9E">
            <w:pPr>
              <w:spacing w:after="0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do planowania leczenia dla technik 3D, IMRT oraz VMAT (z funkcją obliczania rozkładu dawki)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4C85876" w14:textId="15DDC97D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1B4AA0B" w14:textId="4AB7A75E" w:rsidR="7FF83A9E" w:rsidRDefault="7FF83A9E" w:rsidP="7FF83A9E">
            <w:pPr>
              <w:spacing w:after="0"/>
              <w:rPr>
                <w:color w:val="000000" w:themeColor="text1"/>
              </w:rPr>
            </w:pPr>
          </w:p>
        </w:tc>
      </w:tr>
      <w:tr w:rsidR="7FF83A9E" w14:paraId="71FB1D25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C803968" w14:textId="37A3F96D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CEAF14C" w14:textId="3B14FF7B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Funkcjonalność importu/exportu danych (w tym planów leczenia wraz z rozkładem dawek) w formacie DICOM RT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C67F26D" w14:textId="76178C7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6A7D237" w14:textId="7ADEE31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6DC9AFC3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3AD15B5" w14:textId="123D2DF9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06330C2" w14:textId="6162FAB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Funkcjonalność manualnego konturowania struktur anatomicznych dla oferowanego systemu planowania leczenia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B793C18" w14:textId="30A9A7D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A5B98E5" w14:textId="2C299CE6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3D2CF47F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D503397" w14:textId="419FD114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8CDD765" w14:textId="07C21DA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Funkcjonalność fuzji obrazów TK do planowania leczenia z referencyjnymi badaniami TK, MRI, PET,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EA651F8" w14:textId="6D1B8E8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10033AF" w14:textId="0C58697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0A6F8B77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A4E6B36" w14:textId="5D041C9E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A90A258" w14:textId="54331183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wyposażony w narzędzia do automatycznego konturowania na podstawie atlasów anatomicznych, oparte o algorytmy sztucznej inteligencji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0A79E78" w14:textId="4A75535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3592A83" w14:textId="41A07D5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3812F1C2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ED7B3FC" w14:textId="4A8AD3F6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5C2C501" w14:textId="76A52E4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Możliwość tworzenia biblioteki planów leczenia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75136F1" w14:textId="309154F0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3BAB609" w14:textId="3385FD57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55C5B390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7C16E1F" w14:textId="34C3755B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3045F32" w14:textId="7D06BD1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Możliwość tworzenia skryptów jako narzędzie do automatycznego planowania leczenia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05449F8" w14:textId="30E34BB5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097A5DD" w14:textId="18FFDE98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0791AC96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C95091E" w14:textId="2A5492B4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35FB917" w14:textId="7CCB945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Obliczanie i wyświetlanie rozkładu dawki w postaci izodoz 2D oraz 3D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D545DF3" w14:textId="7EBCC868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8EDB19B" w14:textId="06F7A14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245D2FDD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34A823C" w14:textId="2B76AA15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F10F6BE" w14:textId="0BB3954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Funkcja planowania i optymalizacji dawki z wykorzystaniem funkcji narządów równoległych i szeregowych dla optymalizatora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88C2DBC" w14:textId="2726548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FDEAB58" w14:textId="615C797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3CF4BF2E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B3FF457" w14:textId="6A6CA076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0F38409" w14:textId="69E81558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Optymalizator oparty na wielu kryteriach (Multiciterial Optimizaton) lub narzędzie do generowania zestawu optymalnych kryteriów, na podstawie bazy wiedzy Użytkownika lub wielu Użytkowników.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BCD6D73" w14:textId="7DFBB3C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DA438A7" w14:textId="3CB7414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1A87F704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CB4445A" w14:textId="5206211B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53D608A" w14:textId="018F0D3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Obliczanie i wyświetlanie objętościowych histogramów dawki (DVH) na wszystkich oferowanych stacjach planowania leczenia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D4C2635" w14:textId="11CBF44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9A55439" w14:textId="4401267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53FDD715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6865501" w14:textId="591BA08D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604EAFC" w14:textId="2F3C569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Funkcjonalność sumowania kolejnych etapów leczenia na wszystkich oferowanych stacjach planowania leczenia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06DACC2" w14:textId="3F045FF7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9E2FDBB" w14:textId="6ED47E2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410B5311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96F0C76" w14:textId="4C6E6334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B7A4C6B" w14:textId="5F2AC120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Algorytm obliczeniowy dla fotonowych wiązek terapeutycznych z i bez filtra spłaszczającego, emitowanych przez oferowany akcelerator, uwzględniający brak rozpraszania wstecznego od tkanek/obszarów o niskiej gęstości, dla technik konformalnych, dynamicznych IMRT (typu dMLC) oraz łukowych IMRT typu VMAT, dla wszystkich oferowanych fizycznych stacji planowania leczenia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E08278D" w14:textId="3680EF87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159F692" w14:textId="04C905D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5A932A25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FFA3D56" w14:textId="6BD746AB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DEC4319" w14:textId="17287B23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Algorytm obliczania dawki dla techniki radioterapii 3D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AF12173" w14:textId="1F6EFFB3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18D987D" w14:textId="5E5D2158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478E1F9C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DC52591" w14:textId="15D0894C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D20FE0F" w14:textId="25215E5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Algorytm obliczeniowy dla fotonowych wiązek terapeutycznych, emitowanych przez oferowany akcelerator, bazujący na symulacjach Monte Carlo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E7FCB9E" w14:textId="3496ECE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6CE967D" w14:textId="05FC596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28916067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76FD99F" w14:textId="27A874CA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D00093F" w14:textId="2E8289A3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Algorytm obliczeniowy dla fotonowych wiązek terapeutycznych, emitowanych przez oferowany akcelerator, bazujący na symulacjach Monte Carlo oraz zoptymalizowany w zakresie wykorzystania metod obliczeniowych wykorzystujących technologię GPU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948F767" w14:textId="2D3113C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2FF0D05" w14:textId="738C3580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342C7829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61FE96E" w14:textId="54FE4195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BAD238E" w14:textId="2262471B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Algorytm obliczeniowy dla elektronowych wiązek terapeutycznych, emitowanych przez oferowany akcelerator, bazujący na </w:t>
            </w:r>
            <w:r w:rsidRPr="7FF83A9E">
              <w:rPr>
                <w:color w:val="000000" w:themeColor="text1"/>
              </w:rPr>
              <w:lastRenderedPageBreak/>
              <w:t>symulacjach Monte Carlo oraz zoptymalizowany w zakresie wykorzystania metod obliczeniowych wykorzystujących technologię GPU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3957817" w14:textId="120F6C2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lastRenderedPageBreak/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CBF2AA9" w14:textId="6E5922F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1DE22FD5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CD5382F" w14:textId="282348BC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700C333" w14:textId="4C3D83D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Algorytm obliczeniowy dla elektronowych wiązek terapeutycznych, emitowanych przez oferowany akcelerator, bazujący na symulacjach Monte Carlo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2FEA8FB" w14:textId="726BB5B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BA8B32B" w14:textId="53C95435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7C83535A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6357706" w14:textId="05BF4854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21D3002" w14:textId="7365CF8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Algorytm optymalizujący dla technik dynamicznych IMRT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D1DAA88" w14:textId="2F9592F4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A65D76E" w14:textId="531D5B72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6D2F7021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B938938" w14:textId="73519C6F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69E2395" w14:textId="3D04D755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Algorytm optymalizujący dla technik łukowych IMRT typu VMAT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A0126DB" w14:textId="0126BA32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724E68C" w14:textId="059784C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24CCACA8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009447A" w14:textId="7B7D209C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E0CB562" w14:textId="24035E8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Oferowany system planowania leczenia w pełni przygotowany do integracji z akceleratorem dla technik adaptacyjnych typu on-line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8D91FC9" w14:textId="235A374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E856BBD" w14:textId="57CCEE93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65DED93C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34B6E9C" w14:textId="73A3BA77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72FBFDD" w14:textId="7F506D93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Alogorytm optymalizujący zapewnia możliwość tworzenia map fluencji z wykorzystaniem wirtualnego listka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A7F5938" w14:textId="7D30D7A7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AB8356B" w14:textId="74D831DB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68422132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4CFDA6B" w14:textId="7011F312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2578443" w14:textId="431562F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Alogorytm optymalizujący zapewnia możliwość tworzenia map fluencji z wykorzystaniem wirtualnego listka o szerokości w izocentrum ≤ 1mm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602DF70" w14:textId="1CC09B7B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F6E54B1" w14:textId="028A9C73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</w:p>
        </w:tc>
      </w:tr>
      <w:tr w:rsidR="7FF83A9E" w14:paraId="515596E2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8A6C8F3" w14:textId="2228398A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3794B21" w14:textId="760EB27F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Pełna realizacja planów leczenia opracowanych w oferowanym systemie planowania leczenia na akceleratorach wykorzystywanych przez Zamawiającego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8E9CDBD" w14:textId="1A6F2148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C4BED43" w14:textId="7EB987A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</w:p>
        </w:tc>
      </w:tr>
      <w:tr w:rsidR="7FF83A9E" w14:paraId="003D172F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9AFAA9D" w14:textId="4B76A152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2BDE403" w14:textId="3C5BB008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Optymalizator oferowanego systemu planowania leczenia w pełni wykorzystujący technologiczne możliwości realizacji technik leczenia przez akceleratory wykorzystywane przez Zamawiającego.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61334E7" w14:textId="59F54C58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D6E7890" w14:textId="001B1902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5F1674A0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9156758" w14:textId="331B6D15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2A0A84D" w14:textId="57CEED77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Oferowany system planowania leczenia zapewnia możliwość optymalizacji planów leczenia w zakresie ustawienia kąta ramienia akceleratora dla co najmniej 1024 punktów kontrolnych.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3F5DB91" w14:textId="546B112D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BEF7951" w14:textId="249F96B3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2104E984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A93147A" w14:textId="68E6B809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E7F00B0" w14:textId="07FB990B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Funkcjonalność sporządzania raportów w postaci wydruku dokumentujących plan leczenia w formie histogramu rozkładu dawki w objętości tarczowej i narządach krytycznych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39B768C" w14:textId="666FFFD5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BF84E36" w14:textId="448D5C4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151E415E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2615DA6" w14:textId="4699EBEB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2263787" w14:textId="71064C73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Struktura systemu planowania leczenia oparta o technologię infrastruktury typu serwer/klient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9B788CC" w14:textId="793ABF27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BE062DB" w14:textId="288148A5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7BA6658F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238D9C1" w14:textId="50AB71B4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EBB28C9" w14:textId="0B49C1BF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Oferowana konfiguracja systemu obejmuje niezbędne wyposażenie komputerowe i programowe dla wszystkich oferowanych serwerów planowania leczenia spełniające wymogi producenta systemu planowania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304FA1E" w14:textId="078932B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BECE3DE" w14:textId="3C826378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555BD221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B2A1866" w14:textId="66D90B91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C67CCF6" w14:textId="032E60D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Oferowany system planowania leczenia realizuje obliczenia z wykorzystaniem technologii obliczeń z wykorzystaniem kart graficznych (GPU)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BFAE668" w14:textId="60145CA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5D7D445" w14:textId="2D9283DB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32AA886E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BAC9A98" w14:textId="2C31876A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EA4285D" w14:textId="2538D4D0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Oferowany system planowania leczenia zapewnia pełną kompatybilność w zakresie wykorzystania bazy danych pacjentów systemu Monaco wykorzystywanego przez Zamawiającego.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147BBEA" w14:textId="6AB2098E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A758F0B" w14:textId="30A93264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4A79C4DB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9A6E18A" w14:textId="386EB44B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194EC36" w14:textId="769E523D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Pełna integracja oferowanego systemu planowania leczenia z wykorzystywanym przez Zamawiającego, systemem weryfikacji i zarządzania Mosaiq.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B9F39E8" w14:textId="4E8F574D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2F54D4A" w14:textId="793B9326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0D1E2CEC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D7BB345" w14:textId="27D62144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98F15E0" w14:textId="4DAE9DD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Oferent przeprowadzi niezbędną aktualizację systemu zarządzania radioterapią MOSAIQ, wykorzystywanego przez Zamawiającego do wersji wymaganej przez oferowany system planowania leczenia.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97BEC26" w14:textId="294FED3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7D46211" w14:textId="47919403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7E316A46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55BA974" w14:textId="2C6B3172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4A08FC4" w14:textId="7434C72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Konfiguracja oferowanego systemu planowania leczenia zapewnia możliwość planowania przez fizyków dla 12 jednoczasowych sesji systemu planowania oraz realizacji obliczeń planów dla co najmniej 5 użytkowników jednoczasowo.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845170C" w14:textId="4DBF83B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AA70D1F" w14:textId="5107DB6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7F817BE4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3959D51" w14:textId="04AB5BEF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E196B17" w14:textId="3F45C995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Funkcjonalność oferowanego systemu zapewnia interfejs integrujący moduły planowania z zaawansowanymi modułami do konturowania.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D015F2B" w14:textId="5BCB624A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0546E2C" w14:textId="561D03D2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67B77C31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8C98572" w14:textId="7077E6F5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49314F4" w14:textId="04449D21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Oferowana konfiguracja zawierająca zestaw licencji pozwalających na przeglądanie obrazów, wykonywanie fuzji, konturowanie oraz analizowanie planów leczenia oraz wszystkie inne licencje umożliwiające wykorzystanie wszystkich funkcji systemu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073096C" w14:textId="3E229818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81B32AC" w14:textId="12E4375D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5525DF46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733487D" w14:textId="6AB503BD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8134AAB" w14:textId="6C770E22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System posiadający funkcje importu badań obrazowych w standardzie DICOM dla modalności: TK, 4D-KT, PET, MR, CBCT, RTStructure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F5DFCDB" w14:textId="2F2B0A4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EAF4628" w14:textId="39A93A83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68AB83F6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A1BBD5D" w14:textId="49E01101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9D903BC" w14:textId="715B0F6F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posiadający funkcję wyświetlania obrazów diagnostycznych TK, 4D-TK, PET, MR, CBCT.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8181400" w14:textId="00E70767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BAD1CF4" w14:textId="789B6040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528D5F82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2F66208" w14:textId="556270D3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08A835B" w14:textId="136DE076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Moduł posiadający dedykowane algorytmy sztywnej oraz deformacyjnej fuzji dla obrazów różnych modalności: TK, MR, PET, CBCT.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578B0FF" w14:textId="20090FE0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0D48FCB" w14:textId="4CF8A2C0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4CF71AFE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B756AF9" w14:textId="63EDFA56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7FC3AB0" w14:textId="5F678515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posiadający dedykowane narzędzie do analizy jakości fuzji deformacyjnej.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428C5A4" w14:textId="7C05195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D7BD324" w14:textId="75119B74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3B2E7397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9958396" w14:textId="7C1D73A5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ADC9302" w14:textId="1FEFAA7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System posiadający funkcjonalność automatycznego konturowania struktur anatomicznych pacjenta na obrazach TK i MR w oparciu o algorytmy Sztucznej Inteligencji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95F3623" w14:textId="5BFF184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55081BC" w14:textId="33B5296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4451A7B4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1E9D905" w14:textId="72E89C46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12DEA7A" w14:textId="734B8542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posiadający funkcje ręcznego lub półautomatycznego konturowania.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1DDB649" w14:textId="3C468AC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E5FE490" w14:textId="2B56C83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487AC180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66DA2BF" w14:textId="5E96DE10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BED0FEA" w14:textId="3A76A05F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posiadający narzędzie do konturowania, które wykorzystuje metodę deformacyjną do propagowania konturu z jednej warstwy na następną.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AF0F7ED" w14:textId="1719130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7399127" w14:textId="3A58A808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5E6F99AB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53C8D2A" w14:textId="51D02519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4B24D9F" w14:textId="23608436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posiadający narzędzia do analizy obrazów 4D, automatycznej propagacji deformacyjnej konturu na obrazy w innej fazie oddechowej, automatycznego generowania ITV.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8786BB0" w14:textId="05891820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D19ADE6" w14:textId="32ED87F4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5CCD7DEC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3DB5106" w14:textId="20F1E379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4034070" w14:textId="65D168F2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posiadający funkcjonalność tworzenia reguł automatyzacji opartych na zdarzeniach DICOM przy użyciu zaawansowanych identyfikacji znaczników DICOM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7E3A485" w14:textId="2A6EC48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C8FF53D" w14:textId="502D0936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6EDF4021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D14BCA5" w14:textId="0D6994AC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0A2338F" w14:textId="16D40B7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posiadający funkcjonalność propagacji struktur do innego badania obrazowego wraz z jednoczesną deformacją w celu dopasowania do anatomii pacjenta zawartej w docelowym badaniu (fuzja z deformacją konturów struktur).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02CBFDB" w14:textId="0FEC52B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C2234A5" w14:textId="7193C94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5C188F74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9556FB1" w14:textId="1240C91D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0C1AE7D" w14:textId="58B608D4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posiadający narzędzia do przeglądania i oceny planów leczenia.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3396C50" w14:textId="6B0A98F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3178B5B" w14:textId="1AE22840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46FEB1BD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1715428" w14:textId="4CB958CA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C667B24" w14:textId="015FED78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posiadający funkcjonalność fuzji deformacyjnej rozkładów dawek, ich analizy oraz tworzenia raportów.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796C099" w14:textId="344B5C15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98209B1" w14:textId="7181F9A2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7319EB0F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CCB1586" w14:textId="4F9A6E4C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4BEDD34" w14:textId="66880DB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posiadający funkcjonalność sumowania rozkładów dawek, w tym dawek biologicznych oraz możliwość ich eksportu.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05B4F3D" w14:textId="0F013C4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E353AD5" w14:textId="49A96108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7683BA8A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32895FD" w14:textId="710ACFF4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6D02F07" w14:textId="56D56B2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System posiadający funkcjonalność tworzenia własnych   bibliotek nazw narządów krytycznych.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FFC903C" w14:textId="39AE5685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62D6929" w14:textId="3E52210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7EB5DEF9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0246D2F" w14:textId="7A9FC97C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283CE9F" w14:textId="1557CAF4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Moduł umożliwia automatyzację transferu danych DICOM do posiadanego przez Zamawiającego systemów planowania leczenia Monaco bez konieczności wykonywania manualnych operacji import/export.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41289FB" w14:textId="2F7E314B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F1B76C6" w14:textId="2D257AD4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4543AD7E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8EC93CE" w14:textId="02384621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6FB7CBC" w14:textId="6C96FDE2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Deklaracja zgodności UE lub inny równoważny dokument.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0C58013" w14:textId="162FA82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B7C2A76" w14:textId="23212FFB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49BC4206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501F225" w14:textId="1D083FDC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33453B2" w14:textId="52AC992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W przypadku awarii dysku powodującej konieczność jego wymiany, dysk uszkodzony pozostaje u Zamawiającego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A2F9C7E" w14:textId="31DD7D47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C4F1253" w14:textId="184D60D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052DD302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62FFF9C" w14:textId="47C9854F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CA980CD" w14:textId="16FB8B9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Oferowana konfiguracja zapewnia niezbędną modernizację programową w celu zapewnienia obsługi użytkowników w zakresie dostępu do systemu oraz optymalizacji obliczeń.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323F33B" w14:textId="6A085F9F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23195ED" w14:textId="1CFCAE7F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3998C5F5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D525798" w14:textId="0C42B1B6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CDC5F6D" w14:textId="543C5740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Oferowana konfiguracja zawiera serwery przeznaczone do obsługi systemu planowania leczenia, w ilości minimum 5 sztuk. Serwery muszą być przystosowane do realizacji obliczeń planowania leczenia z wykorzystaniem technologii obliczeniowych opartych na kartach graficznych (GPU), zapewniając odpowiednią wydajność i niezawodność systemu.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04CB238" w14:textId="6CECADCF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TAK, opisać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34AC78F" w14:textId="285F4245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0D07E6B2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B41342C" w14:textId="70E17CAC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501D78A" w14:textId="011D8B92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Klasa sprzętowa dla serwerów obliczeniowych (5 szt.) w konfiguracji jakościowej co najmniej:</w:t>
            </w:r>
          </w:p>
          <w:p w14:paraId="1FE1852B" w14:textId="792033B0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  <w:r w:rsidRPr="7FF83A9E">
              <w:rPr>
                <w:color w:val="000000" w:themeColor="text1"/>
                <w:lang w:val="en-US"/>
              </w:rPr>
              <w:t>- Model: HP DL380 generacji 11</w:t>
            </w:r>
            <w:r>
              <w:br/>
            </w:r>
            <w:r w:rsidRPr="7FF83A9E">
              <w:rPr>
                <w:color w:val="000000" w:themeColor="text1"/>
                <w:lang w:val="en-US"/>
              </w:rPr>
              <w:t>- CPU: 2 X INTEL Xeon-G 6526Y</w:t>
            </w:r>
            <w:r>
              <w:br/>
            </w:r>
            <w:r w:rsidRPr="7FF83A9E">
              <w:rPr>
                <w:color w:val="000000" w:themeColor="text1"/>
                <w:lang w:val="en-US"/>
              </w:rPr>
              <w:t>- RAM: 128 GB</w:t>
            </w:r>
            <w:r>
              <w:br/>
            </w:r>
            <w:r w:rsidRPr="7FF83A9E">
              <w:rPr>
                <w:color w:val="000000" w:themeColor="text1"/>
                <w:lang w:val="en-US"/>
              </w:rPr>
              <w:t>- Drives: 4 X 480GB SATA SSD</w:t>
            </w:r>
            <w:r>
              <w:br/>
            </w:r>
            <w:r w:rsidRPr="7FF83A9E">
              <w:rPr>
                <w:color w:val="000000" w:themeColor="text1"/>
                <w:lang w:val="en-US"/>
              </w:rPr>
              <w:t>- Video Card: T400</w:t>
            </w:r>
            <w:r>
              <w:br/>
            </w:r>
            <w:r w:rsidRPr="7FF83A9E">
              <w:rPr>
                <w:color w:val="000000" w:themeColor="text1"/>
                <w:lang w:val="en-US"/>
              </w:rPr>
              <w:t>- GPU: NVIDIA L40</w:t>
            </w:r>
          </w:p>
          <w:p w14:paraId="37455211" w14:textId="1CF8DD72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  <w:r w:rsidRPr="7FF83A9E">
              <w:rPr>
                <w:b/>
                <w:bCs/>
                <w:color w:val="000000" w:themeColor="text1"/>
                <w:lang w:val="en-US"/>
              </w:rPr>
              <w:t>LUB RÓWNOWAZNE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565C95A" w14:textId="291843B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TAK, podać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E708F29" w14:textId="141B2347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</w:p>
        </w:tc>
      </w:tr>
      <w:tr w:rsidR="7FF83A9E" w14:paraId="29F56093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915AD16" w14:textId="7020747F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D36576C" w14:textId="605E8E75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Oferowany system planowania leczenia wyposażone w narzędzia dostępowe tożsame z wykorzystywanymi przez Zamawiającego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A5A0F60" w14:textId="3124233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F3E890D" w14:textId="23D5C49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</w:p>
        </w:tc>
      </w:tr>
      <w:tr w:rsidR="7FF83A9E" w14:paraId="4EAB5C5C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0EEDD53" w14:textId="260C4416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D939FF5" w14:textId="635DFD7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Narzędzia dostępowe oraz optymalizujące dostęp oparte o min. 3 serwery, spełniające jakościowe wymagania min:</w:t>
            </w:r>
          </w:p>
          <w:p w14:paraId="1BB71431" w14:textId="7675991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  <w:r w:rsidRPr="7FF83A9E">
              <w:rPr>
                <w:color w:val="000000" w:themeColor="text1"/>
                <w:lang w:val="en-US"/>
              </w:rPr>
              <w:lastRenderedPageBreak/>
              <w:t>- Model: HP DL380</w:t>
            </w:r>
            <w:r>
              <w:br/>
            </w:r>
            <w:r w:rsidRPr="7FF83A9E">
              <w:rPr>
                <w:color w:val="000000" w:themeColor="text1"/>
                <w:lang w:val="en-US"/>
              </w:rPr>
              <w:t>- CPU: 2 X INTEL Xeon-G 6526Y</w:t>
            </w:r>
            <w:r>
              <w:br/>
            </w:r>
            <w:r w:rsidRPr="7FF83A9E">
              <w:rPr>
                <w:color w:val="000000" w:themeColor="text1"/>
                <w:lang w:val="en-US"/>
              </w:rPr>
              <w:t>- RAM: 256 GB</w:t>
            </w:r>
            <w:r>
              <w:br/>
            </w:r>
            <w:r w:rsidRPr="7FF83A9E">
              <w:rPr>
                <w:color w:val="000000" w:themeColor="text1"/>
                <w:lang w:val="en-US"/>
              </w:rPr>
              <w:t>- Drives: 4 X 480GB SATA SSD</w:t>
            </w:r>
            <w:r>
              <w:br/>
            </w:r>
            <w:r w:rsidRPr="7FF83A9E">
              <w:rPr>
                <w:color w:val="000000" w:themeColor="text1"/>
                <w:lang w:val="en-US"/>
              </w:rPr>
              <w:t>- GPU: NVIDIA 2000 ADA</w:t>
            </w:r>
          </w:p>
          <w:p w14:paraId="3071896D" w14:textId="102328FA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  <w:r w:rsidRPr="7FF83A9E">
              <w:rPr>
                <w:b/>
                <w:bCs/>
                <w:color w:val="000000" w:themeColor="text1"/>
                <w:lang w:val="en-US"/>
              </w:rPr>
              <w:t>LUB RÓWNOWAZNE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EA7C894" w14:textId="3E992189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lastRenderedPageBreak/>
              <w:t>TAK, podać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0844C67" w14:textId="02161B8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</w:p>
        </w:tc>
      </w:tr>
      <w:tr w:rsidR="7FF83A9E" w14:paraId="28613B37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30D0EF5" w14:textId="63994933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347BA64" w14:textId="0957FF3F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Niezbędna aktualizacja licencji posiadanych przez zamawiającego systemu Citrix lub rozwiązania równoważnego, zapewniająca dostęp do serwerów systemu planowania radioterapii w tym dostępu zdalnego. Łączna ilość licencji po aktualizacji min. 30 szt. – jeżeli licencje są czasowe to okres ich trwania musi obowiązywać co najmniej w okresie trwania gwarancji.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C85AE5B" w14:textId="7703BB5F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TAK, opisać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103834A" w14:textId="0E0785D2" w:rsidR="7FF83A9E" w:rsidRDefault="7FF83A9E" w:rsidP="7FF83A9E">
            <w:pPr>
              <w:tabs>
                <w:tab w:val="center" w:pos="560"/>
              </w:tabs>
              <w:spacing w:after="0"/>
              <w:ind w:right="157"/>
              <w:rPr>
                <w:color w:val="000000" w:themeColor="text1"/>
              </w:rPr>
            </w:pPr>
          </w:p>
        </w:tc>
      </w:tr>
      <w:tr w:rsidR="7FF83A9E" w14:paraId="73E50F4C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0CF7829" w14:textId="6D14F0F8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9D2B005" w14:textId="572C0ADD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Zamawiający dopuszcza instalację systemu zarządzającego dostępem zdalnym na zasobach serwerowych zamawiającego po uprzednim uwolnieniu tych zasobów migracją systemu MIM Zamawiającego.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2E4BC92" w14:textId="5E7E40C3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6A89875" w14:textId="249895CC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59E5F6E5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199097F" w14:textId="6F58019A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0A475D0" w14:textId="5CB9F9B1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Oferowana konfiguracja wyposażenia komputerowego zapewnia integrację z posiadaną przez Zamawiającego linią terapeutyczną Mosaiq-Monaco-VersHD.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C8DAD22" w14:textId="430C10EE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1AE518F" w14:textId="188A2102" w:rsidR="7FF83A9E" w:rsidRDefault="7FF83A9E" w:rsidP="7FF83A9E">
            <w:pPr>
              <w:tabs>
                <w:tab w:val="center" w:pos="560"/>
              </w:tabs>
              <w:spacing w:after="0"/>
              <w:ind w:right="157"/>
              <w:jc w:val="both"/>
              <w:rPr>
                <w:color w:val="000000" w:themeColor="text1"/>
              </w:rPr>
            </w:pPr>
          </w:p>
        </w:tc>
      </w:tr>
      <w:tr w:rsidR="7FF83A9E" w14:paraId="765D57E0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08499EB" w14:textId="6ECE0D49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651A228" w14:textId="720E0046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Oferowana konfiguracja systemu planowania leczenia zawiera wyposażenie sprzętowe dla celów przechowywania danych pacjentów, oparte o macierz klasy, co najmniej: HPE MSA 2072 10/25GbE iSCSI SFF – pojemność dyskowa przewidziana na dane min. 30 TB - Dane zapisywane na macierz Monaco/MIM</w:t>
            </w:r>
          </w:p>
          <w:p w14:paraId="4A205E82" w14:textId="7A886BE2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Dane zapisywane na macierz Mosaiq</w:t>
            </w:r>
          </w:p>
          <w:p w14:paraId="155E6D49" w14:textId="7EAB780B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- XVI – po adaptacji</w:t>
            </w:r>
          </w:p>
          <w:p w14:paraId="5A8B3DD4" w14:textId="262F9A07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- Plany leczenia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2F61B06" w14:textId="3A544597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TAK, opisać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5862EFB" w14:textId="21EC54AB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03B8B5CB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BEAED4F" w14:textId="05E5CF62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C9CA760" w14:textId="1718676D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Dwa niezależne serwery w układzie zwirtualizowanym na których zostanie zainstalowany system, który obejmuje zakresem autokonturowanie, konturowanie, fuzjowanie, sumowanie planów – aktualnie tą rolę u Zamawiającego pełni system MIM Software.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EA5A6CA" w14:textId="7371E25F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TAK, opisać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D5A5963" w14:textId="58A6F24E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5A042E58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E58A626" w14:textId="2EE71156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507534C" w14:textId="6A46F44E" w:rsidR="7FF83A9E" w:rsidRDefault="7FF83A9E" w:rsidP="7FF83A9E">
            <w:pPr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Powyższy system będący następcą systemu MIM software funkcjonującego u zamawiającego musi posiadać licencję typu on-site (bez ograniczeń) lub alternatywnie </w:t>
            </w:r>
            <w:r w:rsidRPr="7FF83A9E">
              <w:rPr>
                <w:color w:val="000000" w:themeColor="text1"/>
              </w:rPr>
              <w:lastRenderedPageBreak/>
              <w:t>oferowana konfiguracja systemu planowania posiada dostęp dla co najmniej 25 niezależnych użytkowników w zakresie planowania, autokonturowania, konturowania, fuzjowania, sumowania planów leczenia.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735E7A1" w14:textId="66470C0F" w:rsidR="7FF83A9E" w:rsidRDefault="7FF83A9E" w:rsidP="7FF83A9E">
            <w:pPr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lastRenderedPageBreak/>
              <w:t>TAK, opisać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7F083BC" w14:textId="5DFF3129" w:rsidR="7FF83A9E" w:rsidRDefault="7FF83A9E" w:rsidP="7FF83A9E">
            <w:pPr>
              <w:rPr>
                <w:color w:val="000000" w:themeColor="text1"/>
              </w:rPr>
            </w:pPr>
          </w:p>
        </w:tc>
      </w:tr>
      <w:tr w:rsidR="7FF83A9E" w14:paraId="05434E1A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C200D38" w14:textId="5950AF54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629827F" w14:textId="278D2A70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Oferent przeprowadzi pełną migrację danych i planów (konturowania) z posiadanego przez zamawiającego systemu MIM Software do oferowanego systemu.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63C93E9" w14:textId="72252A36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2C55EA0" w14:textId="7ED3FAA5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5FD0F659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40C58BD" w14:textId="2687C862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4D24852" w14:textId="6E2B5B47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Oferowana konfiguracja systemu Elekta One Planning zamienia funkcjonalności Monaco SIM, zapewniając jednocześnie min. 15 jednoczesnych sesji lekarskich.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45988C8" w14:textId="072235BE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5F63B04" w14:textId="173BE033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260A1D69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8ED386D" w14:textId="5C49CDE0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F1F2E1A" w14:textId="79FB4F4A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Wyposażenie sprzętowe Systemu Planowania leczenia zapewnia urządzenie UPS, zapewniającym moc, co najmniej 9kV A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806644C" w14:textId="18015D50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6D43B51" w14:textId="3FF1FB77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3D26DF0A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5A9A65F" w14:textId="21FB6167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AE62ED6" w14:textId="49BF81FE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Funkcjonalność oferowanego systemu planowania leczenia zintegrowana z systemem MIM, wykorzystywanym przez Zamawiającego i rozbudowywanym w ramach niniejszej oferty.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187ADD3" w14:textId="0E4EE9C0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FAEB57A" w14:textId="1C66805D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0E9B952D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585E6029" w14:textId="6E5E8D3D" w:rsidR="7FF83A9E" w:rsidRDefault="7FF83A9E" w:rsidP="7FF83A9E">
            <w:pPr>
              <w:pStyle w:val="Akapitzlist"/>
              <w:numPr>
                <w:ilvl w:val="0"/>
                <w:numId w:val="2"/>
              </w:numPr>
              <w:tabs>
                <w:tab w:val="center" w:pos="560"/>
              </w:tabs>
              <w:spacing w:line="276" w:lineRule="auto"/>
              <w:ind w:left="527" w:hanging="357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14:paraId="5BD441AD" w14:textId="74040A8F" w:rsidR="7FF83A9E" w:rsidRDefault="7FF83A9E" w:rsidP="7FF83A9E">
            <w:pPr>
              <w:tabs>
                <w:tab w:val="center" w:pos="560"/>
              </w:tabs>
              <w:spacing w:after="0" w:line="276" w:lineRule="auto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b/>
                <w:bCs/>
                <w:color w:val="000000" w:themeColor="text1"/>
              </w:rPr>
              <w:t>Uwagi dodatkowe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5378C069" w14:textId="6EF59AA9" w:rsidR="7FF83A9E" w:rsidRDefault="7FF83A9E" w:rsidP="7FF83A9E">
            <w:pPr>
              <w:tabs>
                <w:tab w:val="center" w:pos="560"/>
              </w:tabs>
              <w:spacing w:after="0" w:line="276" w:lineRule="auto"/>
              <w:ind w:right="157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39DFD0D1" w14:textId="31E508E7" w:rsidR="7FF83A9E" w:rsidRDefault="7FF83A9E" w:rsidP="7FF83A9E">
            <w:pPr>
              <w:tabs>
                <w:tab w:val="center" w:pos="560"/>
              </w:tabs>
              <w:spacing w:after="0" w:line="276" w:lineRule="auto"/>
              <w:ind w:right="157"/>
              <w:jc w:val="center"/>
              <w:rPr>
                <w:color w:val="000000" w:themeColor="text1"/>
              </w:rPr>
            </w:pPr>
          </w:p>
        </w:tc>
      </w:tr>
      <w:tr w:rsidR="7FF83A9E" w14:paraId="2124FEA0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BA25ADF" w14:textId="6B3CEE72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0EE073C" w14:textId="45E26CDC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Oświadczenie, że przedmiot oferty jest kompletny i będzie po zainstalowaniu gotowy do pracy bez żadnych dodatkowych zakupów po stronie Zamawiającego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A0EDA3B" w14:textId="1BAC30E5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882C82A" w14:textId="4CDC87CF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04D41625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6F02D0B" w14:textId="029FCAAF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E8C6071" w14:textId="5FD499BB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Wykonanie wymaganych prawem i zaleceniami producenta przedmiotu umowy testów odbiorczych i akceptacyjnych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A6C4C90" w14:textId="422BD71A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333A322" w14:textId="3BC89A68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01416DBC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DD0A8FB" w14:textId="2355CC9B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3B316A1" w14:textId="4EA74CBF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Instalacja przedmiotu oferty w pomieszczeniach wskazanych przez Zamawiającego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78A85A7" w14:textId="174BBC52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41B8DDD" w14:textId="431E3D65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047997F0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808A6DF" w14:textId="4DE6C844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A633FA0" w14:textId="05531031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Instalacja przedmiotu oferty zapewnia prace, które będą niezbędne do prawidłowego wykorzystania systemów w warunkach klinicznych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BB7490F" w14:textId="6CF2C842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5BF5554" w14:textId="2B40DC5D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65EB1D48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813D3CB" w14:textId="71C254D8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1D069CD" w14:textId="38645B6E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Deklarację zgodności wystawioną przez wytwórcę na zgodność z wymaganiami zasadniczymi dla wyrobów, zgodnie z wymaganiami dyrektywy 98/79/EC lub przepisami wdrażającymi te wymagania do prawodawstwa krajowego, dostarczona nie </w:t>
            </w:r>
            <w:r w:rsidRPr="7FF83A9E">
              <w:rPr>
                <w:color w:val="000000" w:themeColor="text1"/>
              </w:rPr>
              <w:lastRenderedPageBreak/>
              <w:t>później niż w momencie dostawy oferowanego systemu.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C5FCA96" w14:textId="4184A0A9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lastRenderedPageBreak/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C1BDAEF" w14:textId="0110C044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730A41E4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BAA8398" w14:textId="4B9CF677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A2E68A5" w14:textId="039A02E7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Wykonawca zapewnia przygotowanie modelu optymalizacji oraz obliczeń MonteCarlo dla wykorzystania w technologii GPU.</w:t>
            </w:r>
          </w:p>
          <w:p w14:paraId="37C22432" w14:textId="73533E10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25617D2" w14:textId="652A2B54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AB3396E" w14:textId="380582B1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6D64E8BE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9CC61B0" w14:textId="705D313A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35DDAD5" w14:textId="0CA4D0D9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Zamawiający wdraża zasady gospodarki o obiegu zamkniętym, segregując  odpady, wykorzystując bezpieczne metody ich przetwarzania oraz stosując surowce wtórne tam, gdzie jest to możliwe.  </w:t>
            </w:r>
          </w:p>
          <w:p w14:paraId="0FCD0D9A" w14:textId="5141CDC2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Wszystkie opakowania powinny być jednoznacznie oznaczone w zakresie możliwości ich recyklingu, a w przypadku braku takich oznaczeń Wykonawca powinien poinformować Zamawiającego o właściwej metodzie recyklingu.    </w:t>
            </w:r>
          </w:p>
          <w:p w14:paraId="2DA9FBA2" w14:textId="3B936FE8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Wszędzie, gdzie jest to możliwe Wykonawca powinien odebrać komponenty  i elementy, które można ponownie wykorzystać.  Wyroby medyczne objęte zamówieniem są przystosowane do recyklingu lub ponownego wykorzystania komponentów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BE025EE" w14:textId="51522555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C49F9E0" w14:textId="4431E0E5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4790BEA9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4399A73" w14:textId="2B651B5F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C96366A" w14:textId="28C5C01B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Wszelki sprzęt objęty dostawą lub wykorzystywany w ramach realizacji  zamówienia tam, gdzie jest to adekwatne wymaganie, musi być zgodny z regulacjami dotyczącymi wykorzystania substancji chemicznych takich jak dyrektywy REACH i RoHS.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305A289" w14:textId="5F9F232E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B94E6D2" w14:textId="182DF8F1" w:rsidR="7FF83A9E" w:rsidRDefault="7FF83A9E" w:rsidP="7FF83A9E">
            <w:pPr>
              <w:tabs>
                <w:tab w:val="left" w:pos="993"/>
              </w:tabs>
              <w:spacing w:after="0" w:line="276" w:lineRule="auto"/>
              <w:jc w:val="both"/>
              <w:rPr>
                <w:color w:val="000000" w:themeColor="text1"/>
              </w:rPr>
            </w:pPr>
          </w:p>
        </w:tc>
      </w:tr>
      <w:tr w:rsidR="7FF83A9E" w14:paraId="2B23929A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1743820" w14:textId="43B680D2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7F73D0C" w14:textId="39462222" w:rsidR="7FF83A9E" w:rsidRDefault="7FF83A9E" w:rsidP="7FF83A9E">
            <w:pPr>
              <w:tabs>
                <w:tab w:val="left" w:pos="993"/>
              </w:tabs>
              <w:spacing w:after="0" w:line="240" w:lineRule="auto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Efektywność energetyczna: Nowoczesne urządzenia wykorzystywane w radioterapii są  projektowane z myślą o wysokiej efektywności energetycznej, co pozwala na redukcję zużycia energii  w porównaniu do starszych technologii. Zastosowanie urządzeń o wyższej klasie energetycznej zmniejsza emisje gazów  cieplarnianych generowanych przez szpital. </w:t>
            </w:r>
          </w:p>
          <w:p w14:paraId="1B239E01" w14:textId="14A749BE" w:rsidR="7FF83A9E" w:rsidRDefault="7FF83A9E" w:rsidP="7FF83A9E">
            <w:pPr>
              <w:tabs>
                <w:tab w:val="left" w:pos="993"/>
              </w:tabs>
              <w:spacing w:after="0" w:line="240" w:lineRule="auto"/>
              <w:jc w:val="both"/>
              <w:rPr>
                <w:color w:val="000000" w:themeColor="text1"/>
              </w:rPr>
            </w:pPr>
          </w:p>
          <w:p w14:paraId="65C0E124" w14:textId="64852E0D" w:rsidR="7FF83A9E" w:rsidRDefault="7FF83A9E" w:rsidP="7FF83A9E">
            <w:pPr>
              <w:tabs>
                <w:tab w:val="left" w:pos="993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Efektywność energetyczna: Zakupione urządzenia są energooszczędne, a modernizacja  </w:t>
            </w:r>
          </w:p>
          <w:p w14:paraId="0C6A50C0" w14:textId="5A6F5228" w:rsidR="7FF83A9E" w:rsidRDefault="7FF83A9E" w:rsidP="7FF83A9E">
            <w:pPr>
              <w:tabs>
                <w:tab w:val="left" w:pos="993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obejmuje wdrożenie systemów zarządzania energią, co ogranicza zużycie zasobów  </w:t>
            </w:r>
          </w:p>
          <w:p w14:paraId="0B3C871A" w14:textId="2DEA1204" w:rsidR="7FF83A9E" w:rsidRDefault="7FF83A9E" w:rsidP="7FF83A9E">
            <w:pPr>
              <w:tabs>
                <w:tab w:val="left" w:pos="993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lastRenderedPageBreak/>
              <w:t xml:space="preserve">naturalnych i emisję gazów cieplarnianych. </w:t>
            </w:r>
          </w:p>
          <w:p w14:paraId="4E62A912" w14:textId="5F5AEA26" w:rsidR="7FF83A9E" w:rsidRDefault="7FF83A9E" w:rsidP="7FF83A9E">
            <w:pPr>
              <w:tabs>
                <w:tab w:val="left" w:pos="993"/>
              </w:tabs>
              <w:spacing w:after="0" w:line="240" w:lineRule="auto"/>
              <w:jc w:val="both"/>
              <w:rPr>
                <w:color w:val="000000" w:themeColor="text1"/>
              </w:rPr>
            </w:pPr>
          </w:p>
          <w:p w14:paraId="47DE529A" w14:textId="6A12D1F8" w:rsidR="7FF83A9E" w:rsidRDefault="7FF83A9E" w:rsidP="7FF83A9E">
            <w:pPr>
              <w:tabs>
                <w:tab w:val="left" w:pos="993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Odpady medyczne i elektroniczne: Szpital stosuje zgodne z przepisami rozwiązania w  </w:t>
            </w:r>
          </w:p>
          <w:p w14:paraId="4A246790" w14:textId="63B1D8A2" w:rsidR="7FF83A9E" w:rsidRDefault="7FF83A9E" w:rsidP="7FF83A9E">
            <w:pPr>
              <w:tabs>
                <w:tab w:val="left" w:pos="993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zakresie gospodarowania odpadami. Odpady specjalistyczne (np. zużyty sprzęt medyczny)  </w:t>
            </w:r>
          </w:p>
          <w:p w14:paraId="170A93B9" w14:textId="5A68EA35" w:rsidR="7FF83A9E" w:rsidRDefault="7FF83A9E" w:rsidP="7FF83A9E">
            <w:pPr>
              <w:tabs>
                <w:tab w:val="left" w:pos="993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są rejestrowane w systemie kart przekazania odpadów i utylizowane przez certyfikowane  </w:t>
            </w:r>
          </w:p>
          <w:p w14:paraId="12481052" w14:textId="44EC815B" w:rsidR="7FF83A9E" w:rsidRDefault="7FF83A9E" w:rsidP="7FF83A9E">
            <w:pPr>
              <w:tabs>
                <w:tab w:val="left" w:pos="993"/>
              </w:tabs>
              <w:spacing w:after="0" w:line="240" w:lineRule="auto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podmioty, co minimalizuje ryzyko zanieczyszczeń.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AC57B9F" w14:textId="4D0B2A3C" w:rsidR="7FF83A9E" w:rsidRDefault="7FF83A9E" w:rsidP="7FF83A9E">
            <w:pPr>
              <w:tabs>
                <w:tab w:val="left" w:pos="993"/>
              </w:tabs>
              <w:spacing w:after="0" w:line="240" w:lineRule="auto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lastRenderedPageBreak/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37B89C1" w14:textId="751B8AC6" w:rsidR="7FF83A9E" w:rsidRDefault="7FF83A9E" w:rsidP="7FF83A9E">
            <w:pPr>
              <w:tabs>
                <w:tab w:val="left" w:pos="993"/>
              </w:tabs>
              <w:spacing w:after="0" w:line="240" w:lineRule="auto"/>
              <w:rPr>
                <w:color w:val="000000" w:themeColor="text1"/>
              </w:rPr>
            </w:pPr>
          </w:p>
        </w:tc>
      </w:tr>
      <w:tr w:rsidR="7FF83A9E" w14:paraId="1CFADA79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32CA0B84" w14:textId="68BFD4FE" w:rsidR="7FF83A9E" w:rsidRDefault="7FF83A9E" w:rsidP="7FF83A9E">
            <w:pPr>
              <w:pStyle w:val="Akapitzlist"/>
              <w:numPr>
                <w:ilvl w:val="0"/>
                <w:numId w:val="2"/>
              </w:numPr>
              <w:tabs>
                <w:tab w:val="center" w:pos="560"/>
              </w:tabs>
              <w:spacing w:line="276" w:lineRule="auto"/>
              <w:ind w:left="64" w:right="157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14:paraId="015BD371" w14:textId="20790DBE" w:rsidR="7FF83A9E" w:rsidRDefault="7FF83A9E" w:rsidP="7FF83A9E">
            <w:pPr>
              <w:spacing w:after="0"/>
              <w:ind w:left="20"/>
              <w:rPr>
                <w:color w:val="000000" w:themeColor="text1"/>
              </w:rPr>
            </w:pPr>
            <w:r w:rsidRPr="7FF83A9E">
              <w:rPr>
                <w:b/>
                <w:bCs/>
                <w:color w:val="000000" w:themeColor="text1"/>
              </w:rPr>
              <w:t>Warunki serwisowe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0D6B82DD" w14:textId="654F6F27" w:rsidR="7FF83A9E" w:rsidRDefault="7FF83A9E" w:rsidP="7FF83A9E">
            <w:pPr>
              <w:spacing w:after="0"/>
              <w:ind w:left="20"/>
              <w:jc w:val="center"/>
              <w:rPr>
                <w:color w:val="000000" w:themeColor="text1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6B29E031" w14:textId="43E0D256" w:rsidR="7FF83A9E" w:rsidRDefault="7FF83A9E" w:rsidP="7FF83A9E">
            <w:pPr>
              <w:spacing w:after="0"/>
              <w:ind w:left="20"/>
              <w:rPr>
                <w:color w:val="000000" w:themeColor="text1"/>
              </w:rPr>
            </w:pPr>
          </w:p>
        </w:tc>
      </w:tr>
      <w:tr w:rsidR="7FF83A9E" w14:paraId="36553B77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D5B74F6" w14:textId="067D96CD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7764918" w14:textId="5197CFC2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Zdalny dostęp (on-line) do obsługi serwisowej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D7BA701" w14:textId="17F8F2DD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8E83065" w14:textId="5E26C878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709C392F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50923A5" w14:textId="20FF2BCE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262C00C" w14:textId="7A102E5A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Punkty serwisowe, lokalizacja (adres, nr tel. e-mail.)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1F6D7B2" w14:textId="259991E3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932CB54" w14:textId="63D45437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1D3B8336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5092213" w14:textId="3D54CF5E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20FC450" w14:textId="57512470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Czas reakcji/interwencji na zgłoszenie usterki do 12 godzin w dni robocze rozumiane jako dni od pn-pt z wyłączeniem dni ustawowo wolnych od pracy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317F5CE" w14:textId="72AAFC59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C67BAAD" w14:textId="64273D48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6B5F4679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51860CA" w14:textId="4E1BFE6A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61B0CBC" w14:textId="476A0BCF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Czas skutecznej naprawy bez użycia części zamiennych licząc od momentu zgłoszenia awarii - max 48 godzin w dni robocze rozumiane, jako dni od pn-pt z wyłączeniem dni ustawowo wolnych od pracy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FCC0183" w14:textId="75BB828F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4291647" w14:textId="4912B308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746AAD60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10B93976" w14:textId="3B6CEDD8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4F4A1A9D" w14:textId="02867267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Czas skutecznej naprawy z użyciem części zamiennych licząc od momentu zgłoszenia awarii - max 3 dni roboczych rozumiane, jako dni od pn-pt z wyłączeniem dni ustawowo wolnych od pracy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D8C93D7" w14:textId="220039CE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37428794" w14:textId="2AF57172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102A870F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604F08D4" w14:textId="0570154C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5385F93" w14:textId="3C91A50B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Okres dostępności części zamiennych od daty sprzedaży przez min. 5 lat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6748CC58" w14:textId="17465DC5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9710CE7" w14:textId="2294A24C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60DE3AB6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26F1BF3" w14:textId="376CA910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A0B05CA" w14:textId="12ECE8C2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Zgłoszenie serwisowe ujawnionych usterek i awarii systemu w dni robocze w godz. 8.00-16.00 na adres e-mail. Strony dopuszczają możliwość telefonicznego zgłoszenia usterek lub awarii, co należy niezwłocznie potwierdzić e-mailem.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A1F17EF" w14:textId="5A9D6527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45918F7F" w14:textId="1A43BF5D" w:rsidR="7FF83A9E" w:rsidRDefault="7FF83A9E" w:rsidP="7FF83A9E">
            <w:pPr>
              <w:spacing w:after="0"/>
              <w:jc w:val="both"/>
              <w:rPr>
                <w:color w:val="000000" w:themeColor="text1"/>
              </w:rPr>
            </w:pPr>
          </w:p>
        </w:tc>
      </w:tr>
      <w:tr w:rsidR="7FF83A9E" w14:paraId="4066261F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38FD45DA" w14:textId="1BC43128" w:rsidR="7FF83A9E" w:rsidRDefault="7FF83A9E" w:rsidP="7FF83A9E">
            <w:pPr>
              <w:pStyle w:val="Akapitzlist"/>
              <w:numPr>
                <w:ilvl w:val="0"/>
                <w:numId w:val="2"/>
              </w:numPr>
              <w:tabs>
                <w:tab w:val="center" w:pos="560"/>
              </w:tabs>
              <w:spacing w:line="276" w:lineRule="auto"/>
              <w:ind w:left="64" w:right="157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  <w:vAlign w:val="center"/>
          </w:tcPr>
          <w:p w14:paraId="471944A7" w14:textId="49E351C4" w:rsidR="7FF83A9E" w:rsidRDefault="7FF83A9E" w:rsidP="7FF83A9E">
            <w:pPr>
              <w:spacing w:after="0"/>
              <w:ind w:left="20"/>
              <w:rPr>
                <w:color w:val="000000" w:themeColor="text1"/>
              </w:rPr>
            </w:pPr>
            <w:r w:rsidRPr="7FF83A9E">
              <w:rPr>
                <w:b/>
                <w:bCs/>
                <w:color w:val="000000" w:themeColor="text1"/>
              </w:rPr>
              <w:t>Okres gwarancji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4ABAB11F" w14:textId="459F0474" w:rsidR="7FF83A9E" w:rsidRDefault="7FF83A9E" w:rsidP="7FF83A9E">
            <w:pPr>
              <w:spacing w:after="0"/>
              <w:ind w:left="20"/>
              <w:jc w:val="center"/>
              <w:rPr>
                <w:color w:val="000000" w:themeColor="text1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left w:w="60" w:type="dxa"/>
              <w:right w:w="60" w:type="dxa"/>
            </w:tcMar>
          </w:tcPr>
          <w:p w14:paraId="6D4AB741" w14:textId="2AF8B6C0" w:rsidR="7FF83A9E" w:rsidRDefault="7FF83A9E" w:rsidP="7FF83A9E">
            <w:pPr>
              <w:spacing w:after="0"/>
              <w:ind w:left="20"/>
              <w:rPr>
                <w:color w:val="000000" w:themeColor="text1"/>
              </w:rPr>
            </w:pPr>
          </w:p>
        </w:tc>
      </w:tr>
      <w:tr w:rsidR="7FF83A9E" w14:paraId="4C8EB426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723272B9" w14:textId="3DCFD5C3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52886F20" w14:textId="0E4B480C" w:rsidR="7FF83A9E" w:rsidRDefault="7FF83A9E" w:rsidP="7FF83A9E">
            <w:pPr>
              <w:spacing w:after="0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Okres gwarancji na oferowany system w zakresie hardware i software min. 36 miesięcy od daty końcowego odbioru.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11E95073" w14:textId="31A86568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TAK, podać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2C3698E5" w14:textId="3CC53F9E" w:rsidR="7FF83A9E" w:rsidRDefault="7FF83A9E" w:rsidP="7FF83A9E">
            <w:pPr>
              <w:spacing w:after="0"/>
              <w:rPr>
                <w:color w:val="000000" w:themeColor="text1"/>
              </w:rPr>
            </w:pPr>
          </w:p>
        </w:tc>
      </w:tr>
      <w:tr w:rsidR="7FF83A9E" w14:paraId="03C8061F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24919571" w14:textId="4F6DE04A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0EB6886F" w14:textId="6FA96643" w:rsidR="7FF83A9E" w:rsidRDefault="7FF83A9E" w:rsidP="7FF83A9E">
            <w:pPr>
              <w:spacing w:after="0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 xml:space="preserve">Czas dostępności klinicznej przedmiotu umowy w dni robocze (z wyłączeniem dni koniecznych do przeprowadzenia planowych przeglądów konserwacyjnych) ≥ 96% nominalnego czasu pracy zakładu liczonego w dni powszednie od 7:00 do 21:00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911C72D" w14:textId="69F313BE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0C9C8D0C" w14:textId="54233FE6" w:rsidR="7FF83A9E" w:rsidRDefault="7FF83A9E" w:rsidP="7FF83A9E">
            <w:pPr>
              <w:spacing w:after="0"/>
              <w:rPr>
                <w:color w:val="000000" w:themeColor="text1"/>
              </w:rPr>
            </w:pPr>
          </w:p>
        </w:tc>
      </w:tr>
      <w:tr w:rsidR="7FF83A9E" w14:paraId="14A32DC7" w14:textId="77777777" w:rsidTr="7FF83A9E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38D2F73" w14:textId="42CA6559" w:rsidR="7FF83A9E" w:rsidRDefault="7FF83A9E" w:rsidP="7FF83A9E">
            <w:pPr>
              <w:pStyle w:val="Akapitzlist"/>
              <w:numPr>
                <w:ilvl w:val="1"/>
                <w:numId w:val="2"/>
              </w:numPr>
              <w:tabs>
                <w:tab w:val="center" w:pos="560"/>
              </w:tabs>
              <w:spacing w:line="276" w:lineRule="auto"/>
              <w:ind w:left="-113" w:firstLine="142"/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  <w:vAlign w:val="center"/>
          </w:tcPr>
          <w:p w14:paraId="3E36C490" w14:textId="0F18D6B8" w:rsidR="7FF83A9E" w:rsidRDefault="7FF83A9E" w:rsidP="7FF83A9E">
            <w:pPr>
              <w:spacing w:after="0"/>
              <w:rPr>
                <w:color w:val="000000" w:themeColor="text1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79231CF3" w14:textId="5F10F330" w:rsidR="7FF83A9E" w:rsidRDefault="7FF83A9E" w:rsidP="7FF83A9E">
            <w:pPr>
              <w:spacing w:after="0"/>
              <w:jc w:val="center"/>
              <w:rPr>
                <w:color w:val="000000" w:themeColor="text1"/>
              </w:rPr>
            </w:pPr>
            <w:r w:rsidRPr="7FF83A9E">
              <w:rPr>
                <w:color w:val="000000" w:themeColor="text1"/>
              </w:rPr>
              <w:t>TAK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left w:w="60" w:type="dxa"/>
              <w:right w:w="60" w:type="dxa"/>
            </w:tcMar>
          </w:tcPr>
          <w:p w14:paraId="56BA88CF" w14:textId="2D37C12A" w:rsidR="7FF83A9E" w:rsidRDefault="7FF83A9E" w:rsidP="7FF83A9E">
            <w:pPr>
              <w:spacing w:after="0"/>
              <w:rPr>
                <w:color w:val="000000" w:themeColor="text1"/>
              </w:rPr>
            </w:pPr>
          </w:p>
        </w:tc>
      </w:tr>
    </w:tbl>
    <w:p w14:paraId="6A560D4F" w14:textId="711CDBE1" w:rsidR="7FF83A9E" w:rsidRDefault="7FF83A9E"/>
    <w:p w14:paraId="107C5842" w14:textId="6EC37E93" w:rsidR="7FF83A9E" w:rsidRDefault="7FF83A9E"/>
    <w:p w14:paraId="3D3EDBB2" w14:textId="5891734C" w:rsidR="0584EF7B" w:rsidRDefault="0584EF7B" w:rsidP="7FF83A9E">
      <w:pPr>
        <w:pStyle w:val="Akapitzlist"/>
        <w:numPr>
          <w:ilvl w:val="0"/>
          <w:numId w:val="3"/>
        </w:numPr>
      </w:pPr>
      <w:r w:rsidRPr="7FF83A9E">
        <w:rPr>
          <w:rFonts w:eastAsia="Calibri"/>
          <w:b/>
          <w:bCs/>
          <w:color w:val="000000" w:themeColor="text1"/>
        </w:rPr>
        <w:t>szkolenie w zakresie zmodernizowanego systemu planowania leczenia</w:t>
      </w:r>
    </w:p>
    <w:p w14:paraId="0B621B80" w14:textId="24391A94" w:rsidR="7FF83A9E" w:rsidRDefault="7FF83A9E" w:rsidP="7FF83A9E"/>
    <w:tbl>
      <w:tblPr>
        <w:tblStyle w:val="Tabela-Siatka"/>
        <w:tblW w:w="0" w:type="auto"/>
        <w:tblInd w:w="4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555"/>
        <w:gridCol w:w="4245"/>
        <w:gridCol w:w="1695"/>
        <w:gridCol w:w="1695"/>
      </w:tblGrid>
      <w:tr w:rsidR="7FF83A9E" w14:paraId="3AD41F8C" w14:textId="77777777" w:rsidTr="7FF83A9E">
        <w:trPr>
          <w:trHeight w:val="300"/>
        </w:trPr>
        <w:tc>
          <w:tcPr>
            <w:tcW w:w="555" w:type="dxa"/>
            <w:tcMar>
              <w:left w:w="105" w:type="dxa"/>
              <w:right w:w="105" w:type="dxa"/>
            </w:tcMar>
          </w:tcPr>
          <w:p w14:paraId="2D097636" w14:textId="6BFCC37A" w:rsidR="7FF83A9E" w:rsidRDefault="7FF83A9E" w:rsidP="7FF83A9E">
            <w:pPr>
              <w:pStyle w:val="Akapitzlist"/>
              <w:numPr>
                <w:ilvl w:val="1"/>
                <w:numId w:val="1"/>
              </w:num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4245" w:type="dxa"/>
            <w:tcMar>
              <w:left w:w="105" w:type="dxa"/>
              <w:right w:w="105" w:type="dxa"/>
            </w:tcMar>
          </w:tcPr>
          <w:p w14:paraId="75ED3C7C" w14:textId="1D6AD56C" w:rsidR="7FF83A9E" w:rsidRDefault="7FF83A9E" w:rsidP="7FF83A9E">
            <w:pPr>
              <w:rPr>
                <w:color w:val="000000" w:themeColor="text1"/>
              </w:rPr>
            </w:pPr>
            <w:r w:rsidRPr="7FF83A9E">
              <w:rPr>
                <w:rStyle w:val="normaltextrun"/>
                <w:color w:val="000000" w:themeColor="text1"/>
              </w:rPr>
              <w:t>Wykonawca zobowiązuje się przy realizacji szkolenia uwzględniać  środki służące zapewnianiu dostępności osobom ze szczególnymi potrzebami. W zapewnieniu ww. środków  Wykonawca zobowiązuje się zapoznać i stosować dokument  pn. „Standardy dostępności dla polityki spójności 2021-2027” </w:t>
            </w:r>
          </w:p>
          <w:p w14:paraId="0ED4F552" w14:textId="01116C5E" w:rsidR="7FF83A9E" w:rsidRDefault="7FF83A9E" w:rsidP="7FF83A9E">
            <w:pPr>
              <w:rPr>
                <w:color w:val="000000" w:themeColor="text1"/>
              </w:rPr>
            </w:pPr>
            <w:r w:rsidRPr="7FF83A9E">
              <w:rPr>
                <w:rStyle w:val="normaltextrun"/>
                <w:color w:val="000000" w:themeColor="text1"/>
              </w:rPr>
              <w:t>- Rozdział 3. Realizacja szkolenia/kursu/warsztatu/doradztwa, stanowiącym załącznik do Wytycznych dotyczących realizacji zasad równościowych w ramach funduszy unijnych na lata 2021-2027. </w:t>
            </w:r>
          </w:p>
          <w:p w14:paraId="0D7CA78E" w14:textId="095C214E" w:rsidR="7FF83A9E" w:rsidRDefault="7FF83A9E" w:rsidP="7FF83A9E">
            <w:pPr>
              <w:rPr>
                <w:color w:val="000000" w:themeColor="text1"/>
              </w:rPr>
            </w:pPr>
            <w:r w:rsidRPr="7FF83A9E">
              <w:rPr>
                <w:rStyle w:val="normaltextrun"/>
                <w:color w:val="000000" w:themeColor="text1"/>
              </w:rPr>
              <w:t>W ramach szkolenia zapewnione zostaną elastyczne formy wsparcia, jak wydłużony czas trwania szkoleń, wolniejsze mówienie, częstsze przerwy. </w:t>
            </w:r>
          </w:p>
          <w:p w14:paraId="615F80C7" w14:textId="4589854D" w:rsidR="7FF83A9E" w:rsidRDefault="7FF83A9E" w:rsidP="7FF83A9E">
            <w:pPr>
              <w:rPr>
                <w:color w:val="000000" w:themeColor="text1"/>
              </w:rPr>
            </w:pPr>
          </w:p>
        </w:tc>
        <w:tc>
          <w:tcPr>
            <w:tcW w:w="1695" w:type="dxa"/>
            <w:tcMar>
              <w:left w:w="105" w:type="dxa"/>
              <w:right w:w="105" w:type="dxa"/>
            </w:tcMar>
          </w:tcPr>
          <w:p w14:paraId="364F8DC6" w14:textId="11AF9199" w:rsidR="7FF83A9E" w:rsidRDefault="7FF83A9E" w:rsidP="7FF83A9E">
            <w:pPr>
              <w:rPr>
                <w:color w:val="000000" w:themeColor="text1"/>
              </w:rPr>
            </w:pPr>
          </w:p>
        </w:tc>
        <w:tc>
          <w:tcPr>
            <w:tcW w:w="1695" w:type="dxa"/>
            <w:tcMar>
              <w:left w:w="105" w:type="dxa"/>
              <w:right w:w="105" w:type="dxa"/>
            </w:tcMar>
          </w:tcPr>
          <w:p w14:paraId="44E6B436" w14:textId="1E826712" w:rsidR="7FF83A9E" w:rsidRDefault="7FF83A9E" w:rsidP="7FF83A9E">
            <w:pPr>
              <w:rPr>
                <w:color w:val="000000" w:themeColor="text1"/>
              </w:rPr>
            </w:pPr>
          </w:p>
        </w:tc>
      </w:tr>
    </w:tbl>
    <w:p w14:paraId="57B12F06" w14:textId="0084F045" w:rsidR="7FF83A9E" w:rsidRDefault="7FF83A9E" w:rsidP="7FF83A9E"/>
    <w:sectPr w:rsidR="7FF83A9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4942D4" w14:textId="77777777" w:rsidR="00F34BF6" w:rsidRDefault="00F34BF6" w:rsidP="00F60D3E">
      <w:pPr>
        <w:spacing w:after="0" w:line="240" w:lineRule="auto"/>
      </w:pPr>
      <w:r>
        <w:separator/>
      </w:r>
    </w:p>
  </w:endnote>
  <w:endnote w:type="continuationSeparator" w:id="0">
    <w:p w14:paraId="43518A7A" w14:textId="77777777" w:rsidR="00F34BF6" w:rsidRDefault="00F34BF6" w:rsidP="00F60D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0642F" w14:textId="3A9A95D1" w:rsidR="00F60D3E" w:rsidRDefault="00F60D3E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4004D1A" wp14:editId="3B96B17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3335" b="17145"/>
              <wp:wrapSquare wrapText="bothSides"/>
              <wp:docPr id="2" name="Pole tekstowe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4DDD7C" w14:textId="3E36BFC1" w:rsidR="00F60D3E" w:rsidRPr="00F60D3E" w:rsidRDefault="00F60D3E">
                          <w:pPr>
                            <w:rPr>
                              <w:color w:val="000000"/>
                              <w:sz w:val="20"/>
                              <w:szCs w:val="20"/>
                            </w:rPr>
                          </w:pPr>
                          <w:r w:rsidRPr="00F60D3E">
                            <w:rPr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66C13ED5">
            <v:shapetype id="_x0000_t202" coordsize="21600,21600" o:spt="202" path="m,l,21600r21600,l21600,xe" w14:anchorId="24004D1A">
              <v:stroke joinstyle="miter"/>
              <v:path gradientshapeok="t" o:connecttype="rect"/>
            </v:shapetype>
            <v:shape id="Pole tekstowe 2" style="position:absolute;margin-left:0;margin-top:.05pt;width:34.95pt;height:34.95pt;z-index:251659264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Confident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CC8BQIAABQ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">
              <v:textbox style="mso-fit-shape-to-text:t" inset="5pt,0,0,0">
                <w:txbxContent>
                  <w:p w:rsidRPr="00F60D3E" w:rsidR="00F60D3E" w:rsidRDefault="00F60D3E" w14:paraId="4CB6DF31" w14:textId="3E36BFC1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F60D3E">
                      <w:rPr>
                        <w:color w:val="000000"/>
                        <w:sz w:val="20"/>
                        <w:szCs w:val="20"/>
                      </w:rPr>
                      <w:t>Confidential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AFF7C" w14:textId="70CBF39F" w:rsidR="00F60D3E" w:rsidRDefault="00F60D3E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567238E" wp14:editId="1F238BB6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3335" b="17145"/>
              <wp:wrapSquare wrapText="bothSides"/>
              <wp:docPr id="3" name="Pole tekstowe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CD519D7" w14:textId="764D3733" w:rsidR="00F60D3E" w:rsidRPr="00F60D3E" w:rsidRDefault="00F60D3E">
                          <w:pPr>
                            <w:rPr>
                              <w:color w:val="000000"/>
                              <w:sz w:val="20"/>
                              <w:szCs w:val="20"/>
                            </w:rPr>
                          </w:pPr>
                          <w:r w:rsidRPr="00F60D3E">
                            <w:rPr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1E05400C">
            <v:shapetype id="_x0000_t202" coordsize="21600,21600" o:spt="202" path="m,l,21600r21600,l21600,xe" w14:anchorId="5567238E">
              <v:stroke joinstyle="miter"/>
              <v:path gradientshapeok="t" o:connecttype="rect"/>
            </v:shapetype>
            <v:shape id="Pole tekstowe 3" style="position:absolute;margin-left:0;margin-top:.05pt;width:34.95pt;height:34.95pt;z-index:251660288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Confident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">
              <v:textbox style="mso-fit-shape-to-text:t" inset="5pt,0,0,0">
                <w:txbxContent>
                  <w:p w:rsidRPr="00F60D3E" w:rsidR="00F60D3E" w:rsidRDefault="00F60D3E" w14:paraId="3CCF283E" w14:textId="764D3733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F60D3E">
                      <w:rPr>
                        <w:color w:val="000000"/>
                        <w:sz w:val="20"/>
                        <w:szCs w:val="20"/>
                      </w:rPr>
                      <w:t>Confidential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5736A" w14:textId="5B307324" w:rsidR="00F60D3E" w:rsidRDefault="00F60D3E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61B382" wp14:editId="31B3784B">
              <wp:simplePos x="635" y="635"/>
              <wp:positionH relativeFrom="leftMargin">
                <wp:align>left</wp:align>
              </wp:positionH>
              <wp:positionV relativeFrom="paragraph">
                <wp:posOffset>635</wp:posOffset>
              </wp:positionV>
              <wp:extent cx="443865" cy="443865"/>
              <wp:effectExtent l="0" t="0" r="13335" b="17145"/>
              <wp:wrapSquare wrapText="bothSides"/>
              <wp:docPr id="1" name="Pole tekstowe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2BC98B" w14:textId="0BDFCE76" w:rsidR="00F60D3E" w:rsidRPr="00F60D3E" w:rsidRDefault="00F60D3E">
                          <w:pPr>
                            <w:rPr>
                              <w:color w:val="000000"/>
                              <w:sz w:val="20"/>
                              <w:szCs w:val="20"/>
                            </w:rPr>
                          </w:pPr>
                          <w:r w:rsidRPr="00F60D3E">
                            <w:rPr>
                              <w:color w:val="000000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6350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 w14:anchorId="2D7DDE2F">
            <v:shapetype id="_x0000_t202" coordsize="21600,21600" o:spt="202" path="m,l,21600r21600,l21600,xe" w14:anchorId="4C61B382">
              <v:stroke joinstyle="miter"/>
              <v:path gradientshapeok="t" o:connecttype="rect"/>
            </v:shapetype>
            <v:shape id="Pole tekstowe 1" style="position:absolute;margin-left:0;margin-top:.05pt;width:34.95pt;height:34.95pt;z-index:251658240;visibility:visible;mso-wrap-style:none;mso-wrap-distance-left:0;mso-wrap-distance-top:0;mso-wrap-distance-right:0;mso-wrap-distance-bottom:0;mso-position-horizontal:left;mso-position-horizontal-relative:left-margin-area;mso-position-vertical:absolute;mso-position-vertical-relative:text;v-text-anchor:top" alt="Confident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">
              <v:textbox style="mso-fit-shape-to-text:t" inset="5pt,0,0,0">
                <w:txbxContent>
                  <w:p w:rsidRPr="00F60D3E" w:rsidR="00F60D3E" w:rsidRDefault="00F60D3E" w14:paraId="3518BB34" w14:textId="0BDFCE76">
                    <w:pPr>
                      <w:rPr>
                        <w:color w:val="000000"/>
                        <w:sz w:val="20"/>
                        <w:szCs w:val="20"/>
                      </w:rPr>
                    </w:pPr>
                    <w:proofErr w:type="spellStart"/>
                    <w:r w:rsidRPr="00F60D3E">
                      <w:rPr>
                        <w:color w:val="000000"/>
                        <w:sz w:val="20"/>
                        <w:szCs w:val="20"/>
                      </w:rPr>
                      <w:t>Confidential</w:t>
                    </w:r>
                    <w:proofErr w:type="spellEnd"/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F5FEE" w14:textId="77777777" w:rsidR="00F34BF6" w:rsidRDefault="00F34BF6" w:rsidP="00F60D3E">
      <w:pPr>
        <w:spacing w:after="0" w:line="240" w:lineRule="auto"/>
      </w:pPr>
      <w:r>
        <w:separator/>
      </w:r>
    </w:p>
  </w:footnote>
  <w:footnote w:type="continuationSeparator" w:id="0">
    <w:p w14:paraId="6B44FB73" w14:textId="77777777" w:rsidR="00F34BF6" w:rsidRDefault="00F34BF6" w:rsidP="00F60D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A0178D" w14:textId="77777777" w:rsidR="00F60D3E" w:rsidRDefault="00F60D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CB7C2" w14:textId="4A6E96C3" w:rsidR="00F60D3E" w:rsidRDefault="5C2FFB3D">
    <w:pPr>
      <w:pStyle w:val="Nagwek"/>
    </w:pPr>
    <w:r>
      <w:rPr>
        <w:noProof/>
      </w:rPr>
      <w:drawing>
        <wp:inline distT="0" distB="0" distL="0" distR="0" wp14:anchorId="23882D2F" wp14:editId="0A3C1730">
          <wp:extent cx="5578323" cy="762066"/>
          <wp:effectExtent l="0" t="0" r="0" b="0"/>
          <wp:docPr id="667692002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67692002" name="Picture 66769200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78323" cy="76206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C7C4D" w14:textId="77777777" w:rsidR="00F60D3E" w:rsidRDefault="00F60D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64E"/>
    <w:multiLevelType w:val="hybridMultilevel"/>
    <w:tmpl w:val="87B4801C"/>
    <w:lvl w:ilvl="0" w:tplc="16B213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B0368C"/>
    <w:multiLevelType w:val="hybridMultilevel"/>
    <w:tmpl w:val="DC4257A4"/>
    <w:lvl w:ilvl="0" w:tplc="AFE6BFA2">
      <w:start w:val="1"/>
      <w:numFmt w:val="upperRoman"/>
      <w:lvlText w:val="%1."/>
      <w:lvlJc w:val="left"/>
      <w:pPr>
        <w:ind w:left="720" w:hanging="360"/>
      </w:pPr>
    </w:lvl>
    <w:lvl w:ilvl="1" w:tplc="22F6C40A">
      <w:start w:val="1"/>
      <w:numFmt w:val="lowerLetter"/>
      <w:lvlText w:val="%2."/>
      <w:lvlJc w:val="left"/>
      <w:pPr>
        <w:ind w:left="1440" w:hanging="360"/>
      </w:pPr>
    </w:lvl>
    <w:lvl w:ilvl="2" w:tplc="60EA5182">
      <w:start w:val="1"/>
      <w:numFmt w:val="lowerRoman"/>
      <w:lvlText w:val="%3."/>
      <w:lvlJc w:val="right"/>
      <w:pPr>
        <w:ind w:left="2160" w:hanging="180"/>
      </w:pPr>
    </w:lvl>
    <w:lvl w:ilvl="3" w:tplc="72C0A7FC">
      <w:start w:val="1"/>
      <w:numFmt w:val="decimal"/>
      <w:lvlText w:val="%4."/>
      <w:lvlJc w:val="left"/>
      <w:pPr>
        <w:ind w:left="2880" w:hanging="360"/>
      </w:pPr>
    </w:lvl>
    <w:lvl w:ilvl="4" w:tplc="060EB66E">
      <w:start w:val="1"/>
      <w:numFmt w:val="lowerLetter"/>
      <w:lvlText w:val="%5."/>
      <w:lvlJc w:val="left"/>
      <w:pPr>
        <w:ind w:left="3600" w:hanging="360"/>
      </w:pPr>
    </w:lvl>
    <w:lvl w:ilvl="5" w:tplc="4BFED866">
      <w:start w:val="1"/>
      <w:numFmt w:val="lowerRoman"/>
      <w:lvlText w:val="%6."/>
      <w:lvlJc w:val="right"/>
      <w:pPr>
        <w:ind w:left="4320" w:hanging="180"/>
      </w:pPr>
    </w:lvl>
    <w:lvl w:ilvl="6" w:tplc="4D2E3C20">
      <w:start w:val="1"/>
      <w:numFmt w:val="decimal"/>
      <w:lvlText w:val="%7."/>
      <w:lvlJc w:val="left"/>
      <w:pPr>
        <w:ind w:left="5040" w:hanging="360"/>
      </w:pPr>
    </w:lvl>
    <w:lvl w:ilvl="7" w:tplc="EC3086A2">
      <w:start w:val="1"/>
      <w:numFmt w:val="lowerLetter"/>
      <w:lvlText w:val="%8."/>
      <w:lvlJc w:val="left"/>
      <w:pPr>
        <w:ind w:left="5760" w:hanging="360"/>
      </w:pPr>
    </w:lvl>
    <w:lvl w:ilvl="8" w:tplc="6C626430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C1946E"/>
    <w:multiLevelType w:val="hybridMultilevel"/>
    <w:tmpl w:val="B36EFEDE"/>
    <w:lvl w:ilvl="0" w:tplc="1C3A32C4">
      <w:start w:val="1"/>
      <w:numFmt w:val="upperRoman"/>
      <w:lvlText w:val="%1."/>
      <w:lvlJc w:val="left"/>
      <w:pPr>
        <w:ind w:left="720" w:hanging="360"/>
      </w:pPr>
    </w:lvl>
    <w:lvl w:ilvl="1" w:tplc="09F8B8FE">
      <w:start w:val="1"/>
      <w:numFmt w:val="lowerLetter"/>
      <w:lvlText w:val="%2."/>
      <w:lvlJc w:val="left"/>
      <w:pPr>
        <w:ind w:left="1440" w:hanging="360"/>
      </w:pPr>
    </w:lvl>
    <w:lvl w:ilvl="2" w:tplc="A130311A">
      <w:start w:val="1"/>
      <w:numFmt w:val="lowerRoman"/>
      <w:lvlText w:val="%3."/>
      <w:lvlJc w:val="right"/>
      <w:pPr>
        <w:ind w:left="2160" w:hanging="180"/>
      </w:pPr>
    </w:lvl>
    <w:lvl w:ilvl="3" w:tplc="0B10DAC2">
      <w:start w:val="1"/>
      <w:numFmt w:val="decimal"/>
      <w:lvlText w:val="%4."/>
      <w:lvlJc w:val="left"/>
      <w:pPr>
        <w:ind w:left="2880" w:hanging="360"/>
      </w:pPr>
    </w:lvl>
    <w:lvl w:ilvl="4" w:tplc="CF4AE958">
      <w:start w:val="1"/>
      <w:numFmt w:val="lowerLetter"/>
      <w:lvlText w:val="%5."/>
      <w:lvlJc w:val="left"/>
      <w:pPr>
        <w:ind w:left="3600" w:hanging="360"/>
      </w:pPr>
    </w:lvl>
    <w:lvl w:ilvl="5" w:tplc="768C7C10">
      <w:start w:val="1"/>
      <w:numFmt w:val="lowerRoman"/>
      <w:lvlText w:val="%6."/>
      <w:lvlJc w:val="right"/>
      <w:pPr>
        <w:ind w:left="4320" w:hanging="180"/>
      </w:pPr>
    </w:lvl>
    <w:lvl w:ilvl="6" w:tplc="0914993E">
      <w:start w:val="1"/>
      <w:numFmt w:val="decimal"/>
      <w:lvlText w:val="%7."/>
      <w:lvlJc w:val="left"/>
      <w:pPr>
        <w:ind w:left="5040" w:hanging="360"/>
      </w:pPr>
    </w:lvl>
    <w:lvl w:ilvl="7" w:tplc="5606BC86">
      <w:start w:val="1"/>
      <w:numFmt w:val="lowerLetter"/>
      <w:lvlText w:val="%8."/>
      <w:lvlJc w:val="left"/>
      <w:pPr>
        <w:ind w:left="5760" w:hanging="360"/>
      </w:pPr>
    </w:lvl>
    <w:lvl w:ilvl="8" w:tplc="DBB2F1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690EF"/>
    <w:multiLevelType w:val="multilevel"/>
    <w:tmpl w:val="DC4A92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" w15:restartNumberingAfterBreak="0">
    <w:nsid w:val="48076594"/>
    <w:multiLevelType w:val="multilevel"/>
    <w:tmpl w:val="46A6BB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35F31C1"/>
    <w:multiLevelType w:val="multilevel"/>
    <w:tmpl w:val="40B607F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 w15:restartNumberingAfterBreak="0">
    <w:nsid w:val="5665C211"/>
    <w:multiLevelType w:val="hybridMultilevel"/>
    <w:tmpl w:val="3B0A786C"/>
    <w:lvl w:ilvl="0" w:tplc="3E4A2C58">
      <w:start w:val="2"/>
      <w:numFmt w:val="upperRoman"/>
      <w:lvlText w:val="%1."/>
      <w:lvlJc w:val="left"/>
      <w:pPr>
        <w:ind w:left="720" w:hanging="360"/>
      </w:pPr>
    </w:lvl>
    <w:lvl w:ilvl="1" w:tplc="960CD776">
      <w:start w:val="1"/>
      <w:numFmt w:val="lowerLetter"/>
      <w:lvlText w:val="%2."/>
      <w:lvlJc w:val="left"/>
      <w:pPr>
        <w:ind w:left="1440" w:hanging="360"/>
      </w:pPr>
    </w:lvl>
    <w:lvl w:ilvl="2" w:tplc="68365F4A">
      <w:start w:val="1"/>
      <w:numFmt w:val="lowerRoman"/>
      <w:lvlText w:val="%3."/>
      <w:lvlJc w:val="right"/>
      <w:pPr>
        <w:ind w:left="2160" w:hanging="180"/>
      </w:pPr>
    </w:lvl>
    <w:lvl w:ilvl="3" w:tplc="F68A929A">
      <w:start w:val="1"/>
      <w:numFmt w:val="decimal"/>
      <w:lvlText w:val="%4."/>
      <w:lvlJc w:val="left"/>
      <w:pPr>
        <w:ind w:left="2880" w:hanging="360"/>
      </w:pPr>
    </w:lvl>
    <w:lvl w:ilvl="4" w:tplc="85603210">
      <w:start w:val="1"/>
      <w:numFmt w:val="lowerLetter"/>
      <w:lvlText w:val="%5."/>
      <w:lvlJc w:val="left"/>
      <w:pPr>
        <w:ind w:left="3600" w:hanging="360"/>
      </w:pPr>
    </w:lvl>
    <w:lvl w:ilvl="5" w:tplc="DD72F08A">
      <w:start w:val="1"/>
      <w:numFmt w:val="lowerRoman"/>
      <w:lvlText w:val="%6."/>
      <w:lvlJc w:val="right"/>
      <w:pPr>
        <w:ind w:left="4320" w:hanging="180"/>
      </w:pPr>
    </w:lvl>
    <w:lvl w:ilvl="6" w:tplc="A1C0F038">
      <w:start w:val="1"/>
      <w:numFmt w:val="decimal"/>
      <w:lvlText w:val="%7."/>
      <w:lvlJc w:val="left"/>
      <w:pPr>
        <w:ind w:left="5040" w:hanging="360"/>
      </w:pPr>
    </w:lvl>
    <w:lvl w:ilvl="7" w:tplc="509862AC">
      <w:start w:val="1"/>
      <w:numFmt w:val="lowerLetter"/>
      <w:lvlText w:val="%8."/>
      <w:lvlJc w:val="left"/>
      <w:pPr>
        <w:ind w:left="5760" w:hanging="360"/>
      </w:pPr>
    </w:lvl>
    <w:lvl w:ilvl="8" w:tplc="F6B0637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014BBF"/>
    <w:multiLevelType w:val="multilevel"/>
    <w:tmpl w:val="B52A9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num w:numId="1" w16cid:durableId="2093164919">
    <w:abstractNumId w:val="3"/>
  </w:num>
  <w:num w:numId="2" w16cid:durableId="1069424021">
    <w:abstractNumId w:val="7"/>
  </w:num>
  <w:num w:numId="3" w16cid:durableId="2091803119">
    <w:abstractNumId w:val="2"/>
  </w:num>
  <w:num w:numId="4" w16cid:durableId="380053482">
    <w:abstractNumId w:val="6"/>
  </w:num>
  <w:num w:numId="5" w16cid:durableId="985089890">
    <w:abstractNumId w:val="1"/>
  </w:num>
  <w:num w:numId="6" w16cid:durableId="360131487">
    <w:abstractNumId w:val="5"/>
  </w:num>
  <w:num w:numId="7" w16cid:durableId="1778479319">
    <w:abstractNumId w:val="0"/>
  </w:num>
  <w:num w:numId="8" w16cid:durableId="1011903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D5D"/>
    <w:rsid w:val="0005430F"/>
    <w:rsid w:val="00174571"/>
    <w:rsid w:val="00177FF1"/>
    <w:rsid w:val="00355860"/>
    <w:rsid w:val="004E31D8"/>
    <w:rsid w:val="005301D5"/>
    <w:rsid w:val="00552E9C"/>
    <w:rsid w:val="00622EBA"/>
    <w:rsid w:val="00646C8D"/>
    <w:rsid w:val="006A72A7"/>
    <w:rsid w:val="00736344"/>
    <w:rsid w:val="007B5564"/>
    <w:rsid w:val="007C2A1A"/>
    <w:rsid w:val="007D63DF"/>
    <w:rsid w:val="007E51C8"/>
    <w:rsid w:val="008C6F3B"/>
    <w:rsid w:val="00943D5D"/>
    <w:rsid w:val="00B96AD9"/>
    <w:rsid w:val="00C832FC"/>
    <w:rsid w:val="00CC26B1"/>
    <w:rsid w:val="00CD4E06"/>
    <w:rsid w:val="00D30123"/>
    <w:rsid w:val="00D8111B"/>
    <w:rsid w:val="00DC2313"/>
    <w:rsid w:val="00F34BF6"/>
    <w:rsid w:val="00F60D3E"/>
    <w:rsid w:val="00F8278E"/>
    <w:rsid w:val="00FF535C"/>
    <w:rsid w:val="0584EF7B"/>
    <w:rsid w:val="0A3DC020"/>
    <w:rsid w:val="0E205231"/>
    <w:rsid w:val="11224B8D"/>
    <w:rsid w:val="18932FB6"/>
    <w:rsid w:val="2234DE24"/>
    <w:rsid w:val="26D882EF"/>
    <w:rsid w:val="37080D3E"/>
    <w:rsid w:val="3AB84C16"/>
    <w:rsid w:val="5C2FFB3D"/>
    <w:rsid w:val="7FF8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6A167"/>
  <w15:chartTrackingRefBased/>
  <w15:docId w15:val="{3D63943C-81E1-467F-8289-947DFA237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0D3E"/>
    <w:rPr>
      <w:rFonts w:ascii="Calibri" w:eastAsia="Calibri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60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0D3E"/>
  </w:style>
  <w:style w:type="paragraph" w:styleId="Stopka">
    <w:name w:val="footer"/>
    <w:basedOn w:val="Normalny"/>
    <w:link w:val="StopkaZnak"/>
    <w:uiPriority w:val="99"/>
    <w:unhideWhenUsed/>
    <w:rsid w:val="00F60D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0D3E"/>
  </w:style>
  <w:style w:type="paragraph" w:customStyle="1" w:styleId="default">
    <w:name w:val="default"/>
    <w:basedOn w:val="Normalny"/>
    <w:rsid w:val="00F60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F60D3E"/>
    <w:pPr>
      <w:spacing w:after="0" w:line="240" w:lineRule="auto"/>
      <w:ind w:left="720"/>
    </w:pPr>
    <w:rPr>
      <w:rFonts w:eastAsiaTheme="minorHAns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0D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60D3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60D3E"/>
    <w:rPr>
      <w:rFonts w:ascii="Calibri" w:eastAsia="Calibri" w:hAnsi="Calibri" w:cs="Calibri"/>
      <w:sz w:val="20"/>
      <w:szCs w:val="20"/>
      <w:lang w:eastAsia="pl-PL"/>
    </w:rPr>
  </w:style>
  <w:style w:type="paragraph" w:customStyle="1" w:styleId="paragraph">
    <w:name w:val="paragraph"/>
    <w:basedOn w:val="Normalny"/>
    <w:rsid w:val="00F60D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omylnaczcionkaakapitu"/>
    <w:rsid w:val="00F60D3E"/>
  </w:style>
  <w:style w:type="character" w:customStyle="1" w:styleId="eop">
    <w:name w:val="eop"/>
    <w:basedOn w:val="Domylnaczcionkaakapitu"/>
    <w:rsid w:val="00F60D3E"/>
  </w:style>
  <w:style w:type="table" w:styleId="Tabela-Siatka">
    <w:name w:val="Table Grid"/>
    <w:basedOn w:val="Standardowy"/>
    <w:uiPriority w:val="39"/>
    <w:rsid w:val="00F60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41BA352E857E428E4E9038BC8A3A4D" ma:contentTypeVersion="11" ma:contentTypeDescription="Utwórz nowy dokument." ma:contentTypeScope="" ma:versionID="402acca18e9d6fe9025614ef8576ebd2">
  <xsd:schema xmlns:xsd="http://www.w3.org/2001/XMLSchema" xmlns:xs="http://www.w3.org/2001/XMLSchema" xmlns:p="http://schemas.microsoft.com/office/2006/metadata/properties" xmlns:ns2="555cf533-b7b0-471d-bd61-f0695a1dbbd6" xmlns:ns3="00f5d708-3141-48e0-84ab-d6a740adc6fd" targetNamespace="http://schemas.microsoft.com/office/2006/metadata/properties" ma:root="true" ma:fieldsID="17353760362dd9b42c59dc37965926c3" ns2:_="" ns3:_="">
    <xsd:import namespace="555cf533-b7b0-471d-bd61-f0695a1dbbd6"/>
    <xsd:import namespace="00f5d708-3141-48e0-84ab-d6a740adc6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5cf533-b7b0-471d-bd61-f0695a1dbb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099898cf-afe0-4102-9815-66fd73ccb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5d708-3141-48e0-84ab-d6a740adc6f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73921f-66ce-4419-9538-cd7a38fd94ac}" ma:internalName="TaxCatchAll" ma:showField="CatchAllData" ma:web="00f5d708-3141-48e0-84ab-d6a740adc6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f5d708-3141-48e0-84ab-d6a740adc6fd" xsi:nil="true"/>
    <lcf76f155ced4ddcb4097134ff3c332f xmlns="555cf533-b7b0-471d-bd61-f0695a1dbbd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8C69B09-BB27-434D-8CA2-D4CCBF856C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38E726-425A-4292-AF3B-5291DD2A4661}"/>
</file>

<file path=customXml/itemProps3.xml><?xml version="1.0" encoding="utf-8"?>
<ds:datastoreItem xmlns:ds="http://schemas.openxmlformats.org/officeDocument/2006/customXml" ds:itemID="{671B62BD-29E2-425D-9AFD-361ADB941FA1}">
  <ds:schemaRefs>
    <ds:schemaRef ds:uri="http://schemas.microsoft.com/office/2006/metadata/properties"/>
    <ds:schemaRef ds:uri="http://schemas.microsoft.com/office/infopath/2007/PartnerControls"/>
    <ds:schemaRef ds:uri="00f5d708-3141-48e0-84ab-d6a740adc6fd"/>
    <ds:schemaRef ds:uri="555cf533-b7b0-471d-bd61-f0695a1dbbd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17</Pages>
  <Words>4033</Words>
  <Characters>24202</Characters>
  <Application>Microsoft Office Word</Application>
  <DocSecurity>0</DocSecurity>
  <Lines>201</Lines>
  <Paragraphs>56</Paragraphs>
  <ScaleCrop>false</ScaleCrop>
  <Company/>
  <LinksUpToDate>false</LinksUpToDate>
  <CharactersWithSpaces>28179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Izdebski</dc:creator>
  <cp:keywords/>
  <dc:description/>
  <cp:lastModifiedBy>Erwin Skwarzyński</cp:lastModifiedBy>
  <cp:revision>19</cp:revision>
  <dcterms:created xsi:type="dcterms:W3CDTF">2026-04-03T13:41:00Z</dcterms:created>
  <dcterms:modified xsi:type="dcterms:W3CDTF">2026-04-29T10:10:00Z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1,2,3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Confidential</vt:lpwstr>
  </property>
  <property fmtid="{D5CDD505-2E9C-101B-9397-08002B2CF9AE}" pid="5" name="MSIP_Label_21b2650c-58b3-48d9-bc72-f170ff33b3ed_Enabled">
    <vt:lpwstr>true</vt:lpwstr>
  </property>
  <property fmtid="{D5CDD505-2E9C-101B-9397-08002B2CF9AE}" pid="6" name="MSIP_Label_21b2650c-58b3-48d9-bc72-f170ff33b3ed_SetDate">
    <vt:lpwstr>2026-04-03T13:41:37Z</vt:lpwstr>
  </property>
  <property fmtid="{D5CDD505-2E9C-101B-9397-08002B2CF9AE}" pid="7" name="MSIP_Label_21b2650c-58b3-48d9-bc72-f170ff33b3ed_Method">
    <vt:lpwstr>Standard</vt:lpwstr>
  </property>
  <property fmtid="{D5CDD505-2E9C-101B-9397-08002B2CF9AE}" pid="8" name="MSIP_Label_21b2650c-58b3-48d9-bc72-f170ff33b3ed_Name">
    <vt:lpwstr>Confidential.</vt:lpwstr>
  </property>
  <property fmtid="{D5CDD505-2E9C-101B-9397-08002B2CF9AE}" pid="9" name="MSIP_Label_21b2650c-58b3-48d9-bc72-f170ff33b3ed_SiteId">
    <vt:lpwstr>61cea4b1-8a5a-402a-a97b-23d6b1de63fc</vt:lpwstr>
  </property>
  <property fmtid="{D5CDD505-2E9C-101B-9397-08002B2CF9AE}" pid="10" name="MSIP_Label_21b2650c-58b3-48d9-bc72-f170ff33b3ed_ActionId">
    <vt:lpwstr>b83b60ea-4b73-4c71-a1b4-64685a7edd1f</vt:lpwstr>
  </property>
  <property fmtid="{D5CDD505-2E9C-101B-9397-08002B2CF9AE}" pid="11" name="MSIP_Label_21b2650c-58b3-48d9-bc72-f170ff33b3ed_ContentBits">
    <vt:lpwstr>2</vt:lpwstr>
  </property>
  <property fmtid="{D5CDD505-2E9C-101B-9397-08002B2CF9AE}" pid="12" name="ContentTypeId">
    <vt:lpwstr>0x0101000741BA352E857E428E4E9038BC8A3A4D</vt:lpwstr>
  </property>
  <property fmtid="{D5CDD505-2E9C-101B-9397-08002B2CF9AE}" pid="13" name="MediaServiceImageTags">
    <vt:lpwstr/>
  </property>
</Properties>
</file>